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59B31" w14:textId="3368D3A5" w:rsidR="00BB54BE" w:rsidRPr="001C0132" w:rsidRDefault="00BB5024" w:rsidP="00BB54BE">
      <w:pPr>
        <w:jc w:val="center"/>
        <w:rPr>
          <w:lang w:val="fr-CA"/>
        </w:rPr>
      </w:pPr>
      <w:r>
        <w:rPr>
          <w:noProof/>
          <w:lang w:val="fr-CA" w:eastAsia="fr-CA"/>
        </w:rPr>
        <w:drawing>
          <wp:inline distT="0" distB="0" distL="0" distR="0" wp14:anchorId="578C231A" wp14:editId="362B8532">
            <wp:extent cx="2459741" cy="11430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9741" cy="1143002"/>
                    </a:xfrm>
                    <a:prstGeom prst="rect">
                      <a:avLst/>
                    </a:prstGeom>
                  </pic:spPr>
                </pic:pic>
              </a:graphicData>
            </a:graphic>
          </wp:inline>
        </w:drawing>
      </w:r>
    </w:p>
    <w:p w14:paraId="56CF7A32" w14:textId="77777777" w:rsidR="00BB54BE" w:rsidRPr="001C0132" w:rsidRDefault="00BB54BE" w:rsidP="00BB54BE">
      <w:pPr>
        <w:rPr>
          <w:lang w:val="fr-CA"/>
        </w:rPr>
      </w:pPr>
    </w:p>
    <w:p w14:paraId="708FB05F" w14:textId="77777777" w:rsidR="00BB54BE" w:rsidRPr="001C0132" w:rsidRDefault="00BB54BE" w:rsidP="00BB54BE">
      <w:pPr>
        <w:rPr>
          <w:lang w:val="fr-CA"/>
        </w:rPr>
      </w:pPr>
    </w:p>
    <w:p w14:paraId="536E0F0B" w14:textId="77777777" w:rsidR="00BB54BE" w:rsidRPr="001C0132" w:rsidRDefault="00BB54BE" w:rsidP="00BB54BE">
      <w:pPr>
        <w:rPr>
          <w:lang w:val="fr-CA"/>
        </w:rPr>
      </w:pPr>
    </w:p>
    <w:p w14:paraId="4043ED71" w14:textId="77777777" w:rsidR="00BB54BE" w:rsidRPr="001C0132" w:rsidRDefault="00BB54BE" w:rsidP="00BB54BE">
      <w:pPr>
        <w:rPr>
          <w:lang w:val="fr-CA"/>
        </w:rPr>
      </w:pPr>
    </w:p>
    <w:p w14:paraId="08F8D6BB" w14:textId="77777777" w:rsidR="00BB54BE" w:rsidRPr="001C0132" w:rsidRDefault="00BB54BE" w:rsidP="00BB54BE">
      <w:pPr>
        <w:rPr>
          <w:lang w:val="fr-CA"/>
        </w:rPr>
      </w:pPr>
    </w:p>
    <w:p w14:paraId="4D526CC5" w14:textId="77777777" w:rsidR="00BB54BE" w:rsidRPr="001C0132" w:rsidRDefault="00BB54BE" w:rsidP="00BB54BE">
      <w:pPr>
        <w:rPr>
          <w:lang w:val="fr-CA"/>
        </w:rPr>
      </w:pPr>
    </w:p>
    <w:p w14:paraId="6E239B2E" w14:textId="77777777" w:rsidR="00BB54BE" w:rsidRPr="001C0132" w:rsidRDefault="00BB54BE" w:rsidP="00BB54BE">
      <w:pPr>
        <w:rPr>
          <w:lang w:val="fr-CA"/>
        </w:rPr>
      </w:pPr>
    </w:p>
    <w:p w14:paraId="670516D7" w14:textId="77777777" w:rsidR="00BB54BE" w:rsidRPr="001C0132" w:rsidRDefault="00BB54BE" w:rsidP="00BB54BE">
      <w:pPr>
        <w:rPr>
          <w:lang w:val="fr-CA"/>
        </w:rPr>
      </w:pPr>
    </w:p>
    <w:p w14:paraId="494A1BEF" w14:textId="77777777" w:rsidR="00BB54BE" w:rsidRPr="001C0132" w:rsidRDefault="00BB54BE" w:rsidP="00BB54BE">
      <w:pPr>
        <w:rPr>
          <w:lang w:val="fr-CA"/>
        </w:rPr>
      </w:pPr>
    </w:p>
    <w:p w14:paraId="3B1E73E5" w14:textId="77777777" w:rsidR="00BB54BE" w:rsidRPr="001C0132" w:rsidRDefault="00BB54BE" w:rsidP="00BB54BE">
      <w:pPr>
        <w:rPr>
          <w:lang w:val="fr-CA"/>
        </w:rPr>
      </w:pPr>
    </w:p>
    <w:p w14:paraId="1A50EA64" w14:textId="77777777" w:rsidR="00BB54BE" w:rsidRPr="001C0132" w:rsidRDefault="00BB54BE" w:rsidP="00BB54BE">
      <w:pPr>
        <w:rPr>
          <w:lang w:val="fr-CA"/>
        </w:rPr>
      </w:pPr>
    </w:p>
    <w:p w14:paraId="2D3CBBC5" w14:textId="77777777" w:rsidR="00BB54BE" w:rsidRPr="001C0132" w:rsidRDefault="00BB54BE" w:rsidP="00BB54BE">
      <w:pPr>
        <w:rPr>
          <w:lang w:val="fr-CA"/>
        </w:rPr>
      </w:pPr>
    </w:p>
    <w:p w14:paraId="0DFC4C50" w14:textId="77777777" w:rsidR="00BB54BE" w:rsidRPr="001C0132" w:rsidRDefault="00BB54BE" w:rsidP="00BB54BE">
      <w:pPr>
        <w:rPr>
          <w:lang w:val="fr-CA"/>
        </w:rPr>
      </w:pPr>
    </w:p>
    <w:p w14:paraId="23084114" w14:textId="77777777" w:rsidR="00BB54BE" w:rsidRPr="001C0132" w:rsidRDefault="00BB54BE" w:rsidP="00BB54BE">
      <w:pPr>
        <w:rPr>
          <w:lang w:val="fr-CA"/>
        </w:rPr>
      </w:pPr>
    </w:p>
    <w:p w14:paraId="0EB54F98" w14:textId="77777777" w:rsidR="00BB54BE" w:rsidRPr="001C0132" w:rsidRDefault="00BB54BE" w:rsidP="00BB54BE">
      <w:pPr>
        <w:rPr>
          <w:lang w:val="fr-CA"/>
        </w:rPr>
      </w:pPr>
    </w:p>
    <w:p w14:paraId="5CBB3DF4" w14:textId="77777777" w:rsidR="00BB54BE" w:rsidRPr="001C0132" w:rsidRDefault="00BB54BE" w:rsidP="00BB54BE">
      <w:pPr>
        <w:jc w:val="center"/>
        <w:rPr>
          <w:b/>
          <w:color w:val="365F91" w:themeColor="accent1" w:themeShade="BF"/>
          <w:sz w:val="32"/>
          <w:szCs w:val="32"/>
          <w:lang w:val="fr-CA"/>
        </w:rPr>
      </w:pPr>
      <w:bookmarkStart w:id="0" w:name="lt_pId000"/>
      <w:r w:rsidRPr="00BB5024">
        <w:rPr>
          <w:b/>
          <w:bCs/>
          <w:color w:val="365F91" w:themeColor="accent1" w:themeShade="BF"/>
          <w:sz w:val="32"/>
          <w:szCs w:val="32"/>
          <w:lang w:val="fr-CA"/>
        </w:rPr>
        <w:t>Divulgation quantitative de la </w:t>
      </w:r>
      <w:r w:rsidRPr="00BB5024">
        <w:rPr>
          <w:b/>
          <w:color w:val="365F91" w:themeColor="accent1" w:themeShade="BF"/>
          <w:sz w:val="32"/>
          <w:szCs w:val="32"/>
          <w:lang w:val="fr-CA"/>
        </w:rPr>
        <w:t>CDCC</w:t>
      </w:r>
      <w:bookmarkEnd w:id="0"/>
    </w:p>
    <w:p w14:paraId="16449B46" w14:textId="77777777" w:rsidR="00BB54BE" w:rsidRPr="001C0132" w:rsidRDefault="00BB54BE" w:rsidP="00BB54BE">
      <w:pPr>
        <w:jc w:val="center"/>
        <w:rPr>
          <w:b/>
          <w:color w:val="365F91" w:themeColor="accent1" w:themeShade="BF"/>
          <w:sz w:val="32"/>
          <w:szCs w:val="32"/>
          <w:lang w:val="fr-CA"/>
        </w:rPr>
      </w:pPr>
      <w:bookmarkStart w:id="1" w:name="lt_pId001"/>
      <w:r w:rsidRPr="001C0132">
        <w:rPr>
          <w:b/>
          <w:color w:val="365F91" w:themeColor="accent1" w:themeShade="BF"/>
          <w:sz w:val="32"/>
          <w:szCs w:val="32"/>
          <w:lang w:val="fr-CA"/>
        </w:rPr>
        <w:t>Notes</w:t>
      </w:r>
      <w:bookmarkStart w:id="2" w:name="lt_pId003"/>
      <w:bookmarkEnd w:id="1"/>
      <w:bookmarkEnd w:id="2"/>
      <w:r w:rsidRPr="001C0132">
        <w:rPr>
          <w:b/>
          <w:color w:val="365F91" w:themeColor="accent1" w:themeShade="BF"/>
          <w:sz w:val="32"/>
          <w:szCs w:val="32"/>
          <w:lang w:val="fr-CA"/>
        </w:rPr>
        <w:t xml:space="preserve"> qualitatives</w:t>
      </w:r>
    </w:p>
    <w:p w14:paraId="610599E7" w14:textId="77777777" w:rsidR="00BB54BE" w:rsidRPr="001C0132" w:rsidRDefault="00BB54BE" w:rsidP="00BB54BE">
      <w:pPr>
        <w:rPr>
          <w:lang w:val="fr-CA"/>
        </w:rPr>
      </w:pPr>
    </w:p>
    <w:p w14:paraId="2EEE2C14" w14:textId="77777777" w:rsidR="00BB54BE" w:rsidRPr="001C0132" w:rsidRDefault="00BB54BE" w:rsidP="00BB54BE">
      <w:pPr>
        <w:rPr>
          <w:lang w:val="fr-CA"/>
        </w:rPr>
      </w:pPr>
    </w:p>
    <w:p w14:paraId="021DCA18" w14:textId="77777777" w:rsidR="00BB54BE" w:rsidRPr="001C0132" w:rsidRDefault="00BB54BE" w:rsidP="00BB54BE">
      <w:pPr>
        <w:rPr>
          <w:lang w:val="fr-CA"/>
        </w:rPr>
      </w:pPr>
    </w:p>
    <w:p w14:paraId="4BDEB17E" w14:textId="77777777" w:rsidR="00BB54BE" w:rsidRPr="001C0132" w:rsidRDefault="00BB54BE" w:rsidP="00BB54BE">
      <w:pPr>
        <w:rPr>
          <w:lang w:val="fr-CA"/>
        </w:rPr>
      </w:pPr>
    </w:p>
    <w:p w14:paraId="394C0026" w14:textId="77777777" w:rsidR="00BB54BE" w:rsidRPr="001C0132" w:rsidRDefault="00BB54BE" w:rsidP="00BB54BE">
      <w:pPr>
        <w:rPr>
          <w:lang w:val="fr-CA"/>
        </w:rPr>
      </w:pPr>
    </w:p>
    <w:p w14:paraId="33AE8653" w14:textId="77777777" w:rsidR="00BB54BE" w:rsidRPr="001C0132" w:rsidRDefault="00BB54BE" w:rsidP="00BB54BE">
      <w:pPr>
        <w:rPr>
          <w:lang w:val="fr-CA"/>
        </w:rPr>
      </w:pPr>
    </w:p>
    <w:p w14:paraId="4963F3CC" w14:textId="77777777" w:rsidR="00BB54BE" w:rsidRPr="001C0132" w:rsidRDefault="00BB54BE" w:rsidP="00BB54BE">
      <w:pPr>
        <w:rPr>
          <w:lang w:val="fr-CA"/>
        </w:rPr>
      </w:pPr>
    </w:p>
    <w:p w14:paraId="1A8CA431" w14:textId="77777777" w:rsidR="00BB54BE" w:rsidRPr="001C0132" w:rsidRDefault="00BB54BE" w:rsidP="00BB54BE">
      <w:pPr>
        <w:rPr>
          <w:lang w:val="fr-CA"/>
        </w:rPr>
      </w:pPr>
    </w:p>
    <w:p w14:paraId="20839F6E" w14:textId="77777777" w:rsidR="00BB54BE" w:rsidRPr="001C0132" w:rsidRDefault="00BB54BE" w:rsidP="00BB54BE">
      <w:pPr>
        <w:rPr>
          <w:lang w:val="fr-CA"/>
        </w:rPr>
      </w:pPr>
    </w:p>
    <w:p w14:paraId="7487F834" w14:textId="77777777" w:rsidR="00BB54BE" w:rsidRPr="001C0132" w:rsidRDefault="00BB54BE" w:rsidP="00BB54BE">
      <w:pPr>
        <w:rPr>
          <w:lang w:val="fr-CA"/>
        </w:rPr>
      </w:pPr>
    </w:p>
    <w:p w14:paraId="1F49DA67" w14:textId="77777777" w:rsidR="00BB54BE" w:rsidRPr="001C0132" w:rsidRDefault="00BB54BE" w:rsidP="00BB54BE">
      <w:pPr>
        <w:rPr>
          <w:lang w:val="fr-CA"/>
        </w:rPr>
      </w:pPr>
    </w:p>
    <w:p w14:paraId="6F4C7077" w14:textId="77777777" w:rsidR="00BB54BE" w:rsidRPr="001C0132" w:rsidRDefault="00BB54BE" w:rsidP="00BB54BE">
      <w:pPr>
        <w:rPr>
          <w:lang w:val="fr-CA"/>
        </w:rPr>
      </w:pPr>
    </w:p>
    <w:p w14:paraId="62837745" w14:textId="77777777" w:rsidR="00BB54BE" w:rsidRPr="001C0132" w:rsidRDefault="00BB54BE" w:rsidP="00BB54BE">
      <w:pPr>
        <w:rPr>
          <w:lang w:val="fr-CA"/>
        </w:rPr>
      </w:pPr>
    </w:p>
    <w:p w14:paraId="68837D70" w14:textId="77777777" w:rsidR="00BB54BE" w:rsidRPr="001C0132" w:rsidRDefault="00BB54BE" w:rsidP="00BB54BE">
      <w:pPr>
        <w:rPr>
          <w:lang w:val="fr-CA"/>
        </w:rPr>
      </w:pPr>
    </w:p>
    <w:p w14:paraId="177016B2" w14:textId="77777777" w:rsidR="00BB54BE" w:rsidRPr="001C0132" w:rsidRDefault="00BB54BE" w:rsidP="00BB54BE">
      <w:pPr>
        <w:rPr>
          <w:lang w:val="fr-CA"/>
        </w:rPr>
      </w:pPr>
    </w:p>
    <w:p w14:paraId="42235872" w14:textId="77777777" w:rsidR="00BB54BE" w:rsidRPr="001C0132" w:rsidRDefault="00BB54BE" w:rsidP="00BB54BE">
      <w:pPr>
        <w:rPr>
          <w:lang w:val="fr-CA"/>
        </w:rPr>
      </w:pPr>
    </w:p>
    <w:p w14:paraId="140E9B74" w14:textId="424F5ED3" w:rsidR="00BB54BE" w:rsidRPr="001C0132" w:rsidRDefault="00D77F04" w:rsidP="00226D3D">
      <w:pPr>
        <w:jc w:val="center"/>
        <w:rPr>
          <w:b/>
          <w:color w:val="365F91" w:themeColor="accent1" w:themeShade="BF"/>
          <w:sz w:val="28"/>
          <w:lang w:val="fr-CA"/>
        </w:rPr>
        <w:sectPr w:rsidR="00BB54BE" w:rsidRPr="001C0132">
          <w:pgSz w:w="12240" w:h="15840"/>
          <w:pgMar w:top="1296" w:right="1296" w:bottom="1296" w:left="1296" w:header="720" w:footer="720" w:gutter="0"/>
          <w:cols w:space="720"/>
        </w:sectPr>
      </w:pPr>
      <w:r>
        <w:rPr>
          <w:b/>
          <w:color w:val="365F91" w:themeColor="accent1" w:themeShade="BF"/>
          <w:sz w:val="28"/>
          <w:lang w:val="fr-CA"/>
        </w:rPr>
        <w:t>T</w:t>
      </w:r>
      <w:r w:rsidR="00107127">
        <w:rPr>
          <w:b/>
          <w:color w:val="365F91" w:themeColor="accent1" w:themeShade="BF"/>
          <w:sz w:val="28"/>
          <w:lang w:val="fr-CA"/>
        </w:rPr>
        <w:t>3</w:t>
      </w:r>
      <w:r w:rsidR="00733B3F">
        <w:rPr>
          <w:b/>
          <w:color w:val="365F91" w:themeColor="accent1" w:themeShade="BF"/>
          <w:sz w:val="28"/>
          <w:lang w:val="fr-CA"/>
        </w:rPr>
        <w:t xml:space="preserve"> 2022</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BB54BE" w:rsidRPr="001C0132" w14:paraId="6C4F6E05" w14:textId="77777777" w:rsidTr="006B76A4">
        <w:trPr>
          <w:trHeight w:val="300"/>
        </w:trPr>
        <w:tc>
          <w:tcPr>
            <w:tcW w:w="1305" w:type="dxa"/>
            <w:tcBorders>
              <w:top w:val="single" w:sz="4" w:space="0" w:color="auto"/>
              <w:left w:val="single" w:sz="4" w:space="0" w:color="auto"/>
              <w:bottom w:val="single" w:sz="4" w:space="0" w:color="auto"/>
              <w:right w:val="single" w:sz="4" w:space="0" w:color="auto"/>
            </w:tcBorders>
            <w:shd w:val="clear" w:color="auto" w:fill="BDD7EE"/>
            <w:noWrap/>
            <w:vAlign w:val="bottom"/>
            <w:hideMark/>
          </w:tcPr>
          <w:p w14:paraId="0F6E62E5" w14:textId="77777777" w:rsidR="00BB54BE" w:rsidRPr="00BB5024" w:rsidRDefault="00BB54BE" w:rsidP="006B76A4">
            <w:pPr>
              <w:spacing w:line="240" w:lineRule="auto"/>
              <w:jc w:val="center"/>
              <w:rPr>
                <w:rFonts w:ascii="Calibri" w:eastAsia="Times New Roman" w:hAnsi="Calibri" w:cs="Times New Roman"/>
                <w:b/>
                <w:bCs/>
                <w:color w:val="000000"/>
                <w:lang w:val="fr-CA"/>
              </w:rPr>
            </w:pPr>
            <w:r w:rsidRPr="00BB5024">
              <w:rPr>
                <w:rFonts w:ascii="Calibri" w:eastAsia="Times New Roman" w:hAnsi="Calibri" w:cs="Times New Roman"/>
                <w:b/>
                <w:bCs/>
                <w:color w:val="000000"/>
                <w:lang w:val="fr-CA"/>
              </w:rPr>
              <w:lastRenderedPageBreak/>
              <w:t xml:space="preserve">Principe </w:t>
            </w:r>
          </w:p>
        </w:tc>
        <w:tc>
          <w:tcPr>
            <w:tcW w:w="7767" w:type="dxa"/>
            <w:tcBorders>
              <w:top w:val="single" w:sz="4" w:space="0" w:color="auto"/>
              <w:left w:val="single" w:sz="4" w:space="0" w:color="auto"/>
              <w:bottom w:val="single" w:sz="4" w:space="0" w:color="auto"/>
              <w:right w:val="single" w:sz="4" w:space="0" w:color="auto"/>
            </w:tcBorders>
            <w:shd w:val="clear" w:color="auto" w:fill="BDD7EE"/>
            <w:noWrap/>
            <w:vAlign w:val="bottom"/>
          </w:tcPr>
          <w:p w14:paraId="18D4B60C" w14:textId="77777777" w:rsidR="00BB54BE" w:rsidRPr="00BB5024" w:rsidRDefault="00BB54BE" w:rsidP="006B76A4">
            <w:pPr>
              <w:spacing w:line="240" w:lineRule="auto"/>
              <w:jc w:val="center"/>
              <w:rPr>
                <w:rFonts w:ascii="Calibri" w:eastAsia="Times New Roman" w:hAnsi="Calibri" w:cs="Times New Roman"/>
                <w:b/>
                <w:bCs/>
                <w:color w:val="000000"/>
                <w:lang w:val="fr-CA"/>
              </w:rPr>
            </w:pPr>
          </w:p>
          <w:p w14:paraId="3358AF72" w14:textId="77777777" w:rsidR="00BB54BE" w:rsidRPr="001C0132" w:rsidRDefault="00BB54BE" w:rsidP="006B76A4">
            <w:pPr>
              <w:spacing w:line="240" w:lineRule="auto"/>
              <w:jc w:val="center"/>
              <w:rPr>
                <w:rFonts w:ascii="Calibri" w:eastAsia="Times New Roman" w:hAnsi="Calibri" w:cs="Times New Roman"/>
                <w:b/>
                <w:bCs/>
                <w:color w:val="000000"/>
                <w:lang w:val="fr-CA"/>
              </w:rPr>
            </w:pPr>
            <w:bookmarkStart w:id="3" w:name="lt_pId004"/>
            <w:r w:rsidRPr="00BB5024">
              <w:rPr>
                <w:rFonts w:ascii="Calibri" w:eastAsia="Times New Roman" w:hAnsi="Calibri" w:cs="Times New Roman"/>
                <w:b/>
                <w:bCs/>
                <w:color w:val="000000"/>
                <w:lang w:val="fr-CA"/>
              </w:rPr>
              <w:t>Remarques</w:t>
            </w:r>
            <w:bookmarkStart w:id="4" w:name="lt_pId007"/>
            <w:bookmarkEnd w:id="3"/>
            <w:bookmarkEnd w:id="4"/>
          </w:p>
        </w:tc>
      </w:tr>
      <w:tr w:rsidR="00BB54BE" w:rsidRPr="007055E7" w14:paraId="1F5601CD" w14:textId="77777777" w:rsidTr="006B76A4">
        <w:trPr>
          <w:trHeight w:val="2127"/>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3E3CAC34"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4</w:t>
            </w:r>
          </w:p>
        </w:tc>
        <w:tc>
          <w:tcPr>
            <w:tcW w:w="7767" w:type="dxa"/>
            <w:tcBorders>
              <w:top w:val="single" w:sz="4" w:space="0" w:color="auto"/>
              <w:left w:val="single" w:sz="4" w:space="0" w:color="auto"/>
              <w:bottom w:val="single" w:sz="4" w:space="0" w:color="auto"/>
              <w:right w:val="single" w:sz="4" w:space="0" w:color="auto"/>
            </w:tcBorders>
            <w:vAlign w:val="center"/>
          </w:tcPr>
          <w:p w14:paraId="38A7206E" w14:textId="77777777" w:rsidR="00BB54BE" w:rsidRPr="001C0132" w:rsidRDefault="00BB54BE" w:rsidP="006B76A4">
            <w:pPr>
              <w:spacing w:line="240" w:lineRule="auto"/>
              <w:rPr>
                <w:rFonts w:ascii="Calibri" w:eastAsia="Times New Roman" w:hAnsi="Calibri" w:cs="Times New Roman"/>
                <w:color w:val="000000"/>
                <w:lang w:val="fr-CA"/>
              </w:rPr>
            </w:pPr>
          </w:p>
          <w:p w14:paraId="0DA2A724" w14:textId="5738965B" w:rsidR="00BB54BE" w:rsidRDefault="00BB54BE" w:rsidP="006B76A4">
            <w:pPr>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4.1</w:t>
            </w:r>
            <w:r w:rsidRPr="00BB5024">
              <w:rPr>
                <w:rFonts w:ascii="Calibri" w:eastAsia="Times New Roman" w:hAnsi="Calibri" w:cs="Times New Roman"/>
                <w:b/>
                <w:i/>
                <w:color w:val="000000"/>
                <w:lang w:val="fr-CA"/>
              </w:rPr>
              <w:t xml:space="preserve">. </w:t>
            </w:r>
            <w:r w:rsidR="00141FA6">
              <w:rPr>
                <w:rFonts w:ascii="Calibri" w:eastAsia="Times New Roman" w:hAnsi="Calibri" w:cs="Times New Roman"/>
                <w:b/>
                <w:i/>
                <w:color w:val="000000"/>
                <w:lang w:val="fr-CA"/>
              </w:rPr>
              <w:t>Ressources financières préfinancées de la CDCC</w:t>
            </w:r>
          </w:p>
          <w:p w14:paraId="758ADA22" w14:textId="77777777" w:rsidR="00C46C0E" w:rsidRPr="001C0132" w:rsidRDefault="00C46C0E" w:rsidP="006B76A4">
            <w:pPr>
              <w:jc w:val="both"/>
              <w:rPr>
                <w:rFonts w:ascii="Calibri" w:eastAsia="Times New Roman" w:hAnsi="Calibri" w:cs="Times New Roman"/>
                <w:b/>
                <w:i/>
                <w:color w:val="000000"/>
                <w:lang w:val="fr-CA"/>
              </w:rPr>
            </w:pPr>
          </w:p>
          <w:p w14:paraId="33F2B684" w14:textId="77777777" w:rsidR="00BB54BE" w:rsidRPr="00C46C0E" w:rsidRDefault="00BB54BE" w:rsidP="006B76A4">
            <w:pPr>
              <w:jc w:val="both"/>
              <w:rPr>
                <w:b/>
                <w:u w:val="single"/>
                <w:lang w:val="fr-CA"/>
              </w:rPr>
            </w:pPr>
            <w:bookmarkStart w:id="5" w:name="lt_pId008"/>
            <w:r w:rsidRPr="00C46C0E">
              <w:rPr>
                <w:b/>
                <w:u w:val="single"/>
                <w:lang w:val="fr-CA"/>
              </w:rPr>
              <w:t>Ressources du membre compensateur défaillant</w:t>
            </w:r>
            <w:bookmarkEnd w:id="5"/>
          </w:p>
          <w:p w14:paraId="0150C6C4" w14:textId="30ED01A4" w:rsidR="00BB54BE" w:rsidRPr="00C46C0E" w:rsidRDefault="00BB54BE" w:rsidP="006B76A4">
            <w:pPr>
              <w:ind w:left="249"/>
              <w:jc w:val="both"/>
              <w:rPr>
                <w:lang w:val="fr-CA"/>
              </w:rPr>
            </w:pPr>
            <w:bookmarkStart w:id="6" w:name="lt_pId009"/>
            <w:r w:rsidRPr="00C46C0E">
              <w:rPr>
                <w:b/>
                <w:lang w:val="fr-CA"/>
              </w:rPr>
              <w:t xml:space="preserve">Dépôt de </w:t>
            </w:r>
            <w:r w:rsidR="00502930" w:rsidRPr="00C46C0E">
              <w:rPr>
                <w:b/>
                <w:lang w:val="fr-CA"/>
              </w:rPr>
              <w:t xml:space="preserve">garantie </w:t>
            </w:r>
            <w:r w:rsidRPr="00C46C0E">
              <w:rPr>
                <w:b/>
                <w:lang w:val="fr-CA"/>
              </w:rPr>
              <w:t>du membre compensateur défaillant </w:t>
            </w:r>
            <w:r w:rsidRPr="00C46C0E">
              <w:rPr>
                <w:lang w:val="fr-CA"/>
              </w:rPr>
              <w:t>:</w:t>
            </w:r>
            <w:bookmarkEnd w:id="6"/>
            <w:r w:rsidRPr="00C46C0E">
              <w:rPr>
                <w:lang w:val="fr-CA"/>
              </w:rPr>
              <w:t xml:space="preserve"> </w:t>
            </w:r>
          </w:p>
          <w:p w14:paraId="12E5F465" w14:textId="32CD796F" w:rsidR="00BB54BE" w:rsidRPr="00C46C0E" w:rsidRDefault="00BB54BE" w:rsidP="006B76A4">
            <w:pPr>
              <w:ind w:left="249"/>
              <w:jc w:val="both"/>
              <w:rPr>
                <w:lang w:val="fr-CA"/>
              </w:rPr>
            </w:pPr>
            <w:bookmarkStart w:id="7" w:name="lt_pId010"/>
            <w:r w:rsidRPr="00C46C0E">
              <w:rPr>
                <w:lang w:val="fr-CA"/>
              </w:rPr>
              <w:t xml:space="preserve">La première ligne de protection financière est le dépôt de </w:t>
            </w:r>
            <w:r w:rsidR="00502930" w:rsidRPr="00C46C0E">
              <w:rPr>
                <w:lang w:val="fr-CA"/>
              </w:rPr>
              <w:t xml:space="preserve">garantie </w:t>
            </w:r>
            <w:r w:rsidRPr="00C46C0E">
              <w:rPr>
                <w:lang w:val="fr-CA"/>
              </w:rPr>
              <w:t xml:space="preserve">que le membre compensateur défaillant </w:t>
            </w:r>
            <w:r w:rsidR="00C92937">
              <w:rPr>
                <w:lang w:val="fr-CA"/>
              </w:rPr>
              <w:t>dépose</w:t>
            </w:r>
            <w:r w:rsidRPr="00C46C0E">
              <w:rPr>
                <w:lang w:val="fr-CA"/>
              </w:rPr>
              <w:t xml:space="preserve"> dans le cadre du processus courant de constitution d’une garantie de la Société.</w:t>
            </w:r>
            <w:bookmarkEnd w:id="7"/>
          </w:p>
          <w:p w14:paraId="1ADD7A19" w14:textId="77777777" w:rsidR="00BB54BE" w:rsidRPr="00C46C0E" w:rsidRDefault="00BB54BE" w:rsidP="006B76A4">
            <w:pPr>
              <w:ind w:left="249"/>
              <w:jc w:val="both"/>
              <w:rPr>
                <w:lang w:val="fr-CA"/>
              </w:rPr>
            </w:pPr>
            <w:bookmarkStart w:id="8" w:name="lt_pId011"/>
            <w:r w:rsidRPr="00C46C0E">
              <w:rPr>
                <w:b/>
                <w:lang w:val="fr-CA"/>
              </w:rPr>
              <w:t>Contribution du membre compensateur défaillant au fonds de compensation </w:t>
            </w:r>
            <w:r w:rsidRPr="00C46C0E">
              <w:rPr>
                <w:lang w:val="fr-CA"/>
              </w:rPr>
              <w:t>:</w:t>
            </w:r>
            <w:bookmarkEnd w:id="8"/>
            <w:r w:rsidRPr="00C46C0E">
              <w:rPr>
                <w:lang w:val="fr-CA"/>
              </w:rPr>
              <w:t xml:space="preserve"> </w:t>
            </w:r>
          </w:p>
          <w:p w14:paraId="3DA1C0ED" w14:textId="4420C1FA" w:rsidR="00BB54BE" w:rsidRPr="00C46C0E" w:rsidRDefault="004F3D5F" w:rsidP="006B76A4">
            <w:pPr>
              <w:ind w:left="249"/>
              <w:jc w:val="both"/>
              <w:rPr>
                <w:lang w:val="fr-CA"/>
              </w:rPr>
            </w:pPr>
            <w:bookmarkStart w:id="9" w:name="lt_pId012"/>
            <w:r>
              <w:rPr>
                <w:lang w:val="fr-CA"/>
              </w:rPr>
              <w:t>Après avoir</w:t>
            </w:r>
            <w:r w:rsidR="00BB54BE" w:rsidRPr="00C46C0E">
              <w:rPr>
                <w:lang w:val="fr-CA"/>
              </w:rPr>
              <w:t xml:space="preserve"> épuisé le</w:t>
            </w:r>
            <w:r>
              <w:rPr>
                <w:lang w:val="fr-CA"/>
              </w:rPr>
              <w:t>s fonds du</w:t>
            </w:r>
            <w:r w:rsidR="00BB54BE" w:rsidRPr="00C46C0E">
              <w:rPr>
                <w:lang w:val="fr-CA"/>
              </w:rPr>
              <w:t xml:space="preserve"> dépôt de garantie du membre compensateur défaillant, </w:t>
            </w:r>
            <w:r>
              <w:rPr>
                <w:lang w:val="fr-CA"/>
              </w:rPr>
              <w:t>la Société</w:t>
            </w:r>
            <w:r w:rsidRPr="00C46C0E">
              <w:rPr>
                <w:lang w:val="fr-CA"/>
              </w:rPr>
              <w:t xml:space="preserve"> </w:t>
            </w:r>
            <w:r w:rsidR="00BB54BE" w:rsidRPr="00C46C0E">
              <w:rPr>
                <w:lang w:val="fr-CA"/>
              </w:rPr>
              <w:t xml:space="preserve">emploie </w:t>
            </w:r>
            <w:r>
              <w:rPr>
                <w:lang w:val="fr-CA"/>
              </w:rPr>
              <w:t>les contributions du membre compensateur au fonds de compensation</w:t>
            </w:r>
            <w:r w:rsidR="00BB54BE" w:rsidRPr="00C46C0E">
              <w:rPr>
                <w:lang w:val="fr-CA"/>
              </w:rPr>
              <w:t xml:space="preserve"> </w:t>
            </w:r>
            <w:r w:rsidR="00C92937">
              <w:rPr>
                <w:lang w:val="fr-CA"/>
              </w:rPr>
              <w:t>afin d’atténuer</w:t>
            </w:r>
            <w:r w:rsidR="00BB54BE" w:rsidRPr="00C46C0E">
              <w:rPr>
                <w:lang w:val="fr-CA"/>
              </w:rPr>
              <w:t xml:space="preserve"> la perte.</w:t>
            </w:r>
            <w:bookmarkEnd w:id="9"/>
          </w:p>
          <w:p w14:paraId="017309E6" w14:textId="58E11314" w:rsidR="00BB54BE" w:rsidRPr="00C46C0E" w:rsidRDefault="00BB54BE" w:rsidP="006B76A4">
            <w:pPr>
              <w:jc w:val="both"/>
              <w:rPr>
                <w:b/>
                <w:u w:val="single"/>
                <w:lang w:val="fr-CA"/>
              </w:rPr>
            </w:pPr>
            <w:bookmarkStart w:id="10" w:name="lt_pId013"/>
            <w:r w:rsidRPr="00C46C0E">
              <w:rPr>
                <w:b/>
                <w:u w:val="single"/>
                <w:lang w:val="fr-CA"/>
              </w:rPr>
              <w:t>Ressources de la Société et du système</w:t>
            </w:r>
            <w:bookmarkEnd w:id="10"/>
            <w:r w:rsidR="004F3D5F">
              <w:rPr>
                <w:b/>
                <w:u w:val="single"/>
                <w:lang w:val="fr-CA"/>
              </w:rPr>
              <w:t xml:space="preserve"> </w:t>
            </w:r>
          </w:p>
          <w:p w14:paraId="354F647E" w14:textId="4B9D9BF8" w:rsidR="00BB54BE" w:rsidRPr="00C46C0E" w:rsidRDefault="004F3D5F" w:rsidP="006B76A4">
            <w:pPr>
              <w:ind w:left="249"/>
              <w:jc w:val="both"/>
              <w:rPr>
                <w:lang w:val="fr-CA"/>
              </w:rPr>
            </w:pPr>
            <w:bookmarkStart w:id="11" w:name="lt_pId014"/>
            <w:r>
              <w:rPr>
                <w:lang w:val="fr-CA"/>
              </w:rPr>
              <w:t>S’il demeure un déficit après avoir épuisé les ressources du membre compensateur défaillant,</w:t>
            </w:r>
            <w:r w:rsidR="007E59AA">
              <w:rPr>
                <w:lang w:val="fr-CA"/>
              </w:rPr>
              <w:t xml:space="preserve"> </w:t>
            </w:r>
            <w:r w:rsidR="00BB54BE" w:rsidRPr="00C46C0E">
              <w:rPr>
                <w:lang w:val="fr-CA"/>
              </w:rPr>
              <w:t xml:space="preserve">la Société </w:t>
            </w:r>
            <w:r>
              <w:rPr>
                <w:lang w:val="fr-CA"/>
              </w:rPr>
              <w:t>emploie</w:t>
            </w:r>
            <w:r w:rsidR="00BB54BE" w:rsidRPr="00C46C0E">
              <w:rPr>
                <w:lang w:val="fr-CA"/>
              </w:rPr>
              <w:t xml:space="preserve"> les ressources communes du système pour couvrir la perte</w:t>
            </w:r>
            <w:bookmarkStart w:id="12" w:name="lt_pId015"/>
            <w:bookmarkEnd w:id="11"/>
            <w:bookmarkEnd w:id="12"/>
            <w:r>
              <w:rPr>
                <w:lang w:val="fr-CA"/>
              </w:rPr>
              <w:t>. Il s’agit de</w:t>
            </w:r>
            <w:r w:rsidR="00DD546E" w:rsidRPr="00C46C0E">
              <w:rPr>
                <w:lang w:val="fr-CA"/>
              </w:rPr>
              <w:t> :</w:t>
            </w:r>
          </w:p>
          <w:p w14:paraId="41CF087F" w14:textId="77777777" w:rsidR="00BB54BE" w:rsidRPr="00C46C0E" w:rsidRDefault="00BB54BE" w:rsidP="006B76A4">
            <w:pPr>
              <w:ind w:left="249"/>
              <w:jc w:val="both"/>
              <w:rPr>
                <w:lang w:val="fr-CA"/>
              </w:rPr>
            </w:pPr>
            <w:r w:rsidRPr="00C46C0E">
              <w:rPr>
                <w:b/>
                <w:lang w:val="fr-CA"/>
              </w:rPr>
              <w:t>Ressources en capital de la Société</w:t>
            </w:r>
            <w:r w:rsidRPr="00C46C0E">
              <w:rPr>
                <w:lang w:val="fr-CA"/>
              </w:rPr>
              <w:t xml:space="preserve"> </w:t>
            </w:r>
          </w:p>
          <w:p w14:paraId="3E85C37F" w14:textId="0A884697" w:rsidR="00BB54BE" w:rsidRPr="00C46C0E" w:rsidRDefault="004F3D5F" w:rsidP="006B76A4">
            <w:pPr>
              <w:ind w:left="249"/>
              <w:jc w:val="both"/>
              <w:rPr>
                <w:lang w:val="fr-CA"/>
              </w:rPr>
            </w:pPr>
            <w:bookmarkStart w:id="13" w:name="lt_pId016"/>
            <w:r>
              <w:rPr>
                <w:lang w:val="fr-CA"/>
              </w:rPr>
              <w:t>D’abord, l</w:t>
            </w:r>
            <w:r w:rsidRPr="00C46C0E">
              <w:rPr>
                <w:lang w:val="fr-CA"/>
              </w:rPr>
              <w:t xml:space="preserve">a </w:t>
            </w:r>
            <w:r w:rsidR="00BB54BE" w:rsidRPr="00C46C0E">
              <w:rPr>
                <w:lang w:val="fr-CA"/>
              </w:rPr>
              <w:t xml:space="preserve">Société </w:t>
            </w:r>
            <w:r>
              <w:rPr>
                <w:lang w:val="fr-CA"/>
              </w:rPr>
              <w:t>emploie</w:t>
            </w:r>
            <w:r w:rsidR="00BB54BE" w:rsidRPr="00C46C0E">
              <w:rPr>
                <w:lang w:val="fr-CA"/>
              </w:rPr>
              <w:t xml:space="preserve"> son propre capital, mais uniquement </w:t>
            </w:r>
            <w:r>
              <w:rPr>
                <w:lang w:val="fr-CA"/>
              </w:rPr>
              <w:t>l</w:t>
            </w:r>
            <w:r w:rsidR="00BB54BE" w:rsidRPr="00C46C0E">
              <w:rPr>
                <w:lang w:val="fr-CA"/>
              </w:rPr>
              <w:t xml:space="preserve">es réserves de capital mises de côté à cette fin, </w:t>
            </w:r>
            <w:r w:rsidR="00C92937">
              <w:rPr>
                <w:lang w:val="fr-CA"/>
              </w:rPr>
              <w:t>qui</w:t>
            </w:r>
            <w:r w:rsidR="00BB54BE" w:rsidRPr="00C46C0E">
              <w:rPr>
                <w:lang w:val="fr-CA"/>
              </w:rPr>
              <w:t xml:space="preserve"> se chiffrent actuellement à un maximum de 5 millions de dollars.</w:t>
            </w:r>
            <w:bookmarkEnd w:id="13"/>
          </w:p>
          <w:p w14:paraId="2CA9A8B8" w14:textId="77777777" w:rsidR="00BB54BE" w:rsidRPr="00C46C0E" w:rsidRDefault="00BB54BE" w:rsidP="006B76A4">
            <w:pPr>
              <w:ind w:left="249"/>
              <w:jc w:val="both"/>
              <w:rPr>
                <w:b/>
                <w:lang w:val="fr-CA"/>
              </w:rPr>
            </w:pPr>
            <w:bookmarkStart w:id="14" w:name="lt_pId017"/>
            <w:r w:rsidRPr="00C46C0E">
              <w:rPr>
                <w:b/>
                <w:lang w:val="fr-CA"/>
              </w:rPr>
              <w:t>Dépôts au fonds de compensation des autres membres compensateurs :</w:t>
            </w:r>
            <w:bookmarkEnd w:id="14"/>
            <w:r w:rsidRPr="00C46C0E">
              <w:rPr>
                <w:b/>
                <w:lang w:val="fr-CA"/>
              </w:rPr>
              <w:t xml:space="preserve"> </w:t>
            </w:r>
          </w:p>
          <w:p w14:paraId="03BA5C8F" w14:textId="2908BC30" w:rsidR="00BB54BE" w:rsidRPr="00C46C0E" w:rsidRDefault="004F3D5F" w:rsidP="006B76A4">
            <w:pPr>
              <w:ind w:left="249"/>
              <w:jc w:val="both"/>
              <w:rPr>
                <w:lang w:val="fr-CA"/>
              </w:rPr>
            </w:pPr>
            <w:bookmarkStart w:id="15" w:name="lt_pId018"/>
            <w:r>
              <w:rPr>
                <w:lang w:val="fr-CA"/>
              </w:rPr>
              <w:t>Ensuite, la Société emploie</w:t>
            </w:r>
            <w:r w:rsidR="00BB54BE" w:rsidRPr="00C46C0E">
              <w:rPr>
                <w:lang w:val="fr-CA"/>
              </w:rPr>
              <w:t xml:space="preserve"> les soldes restants du fonds de compensation, sur une base proportionnelle établie d’après la taille de la contribution de chaque membre compensateur.</w:t>
            </w:r>
            <w:bookmarkStart w:id="16" w:name="lt_pId019"/>
            <w:bookmarkEnd w:id="15"/>
            <w:bookmarkEnd w:id="16"/>
          </w:p>
          <w:p w14:paraId="1F7D98E4" w14:textId="5ECD69A1" w:rsidR="00BB54BE" w:rsidRPr="00C46C0E" w:rsidRDefault="004F3D5F" w:rsidP="006B76A4">
            <w:pPr>
              <w:ind w:left="249"/>
              <w:jc w:val="both"/>
              <w:rPr>
                <w:lang w:val="fr-CA"/>
              </w:rPr>
            </w:pPr>
            <w:r>
              <w:rPr>
                <w:b/>
                <w:lang w:val="fr-CA"/>
              </w:rPr>
              <w:t>Appel de fonds des autres membres compensateurs</w:t>
            </w:r>
          </w:p>
          <w:p w14:paraId="305F2C7C" w14:textId="74462CD5" w:rsidR="00BB54BE" w:rsidRPr="001C0132" w:rsidRDefault="00BB54BE" w:rsidP="006B76A4">
            <w:pPr>
              <w:ind w:left="249"/>
              <w:jc w:val="both"/>
              <w:rPr>
                <w:lang w:val="fr-CA"/>
              </w:rPr>
            </w:pPr>
            <w:bookmarkStart w:id="17" w:name="lt_pId020"/>
            <w:r w:rsidRPr="00C46C0E">
              <w:rPr>
                <w:lang w:val="fr-CA"/>
              </w:rPr>
              <w:t xml:space="preserve">Si, après l’application de l’ensemble des correctifs décrits ci-dessus, il demeure une perte, la Société </w:t>
            </w:r>
            <w:r w:rsidR="00C92937">
              <w:rPr>
                <w:lang w:val="fr-CA"/>
              </w:rPr>
              <w:t>peut</w:t>
            </w:r>
            <w:r w:rsidR="004F3D5F">
              <w:rPr>
                <w:lang w:val="fr-CA"/>
              </w:rPr>
              <w:t xml:space="preserve"> </w:t>
            </w:r>
            <w:r w:rsidRPr="00C46C0E">
              <w:rPr>
                <w:lang w:val="fr-CA"/>
              </w:rPr>
              <w:t>alors</w:t>
            </w:r>
            <w:r w:rsidRPr="00C46C0E">
              <w:rPr>
                <w:rFonts w:ascii="Calibri" w:eastAsia="Times New Roman" w:hAnsi="Calibri" w:cs="Times New Roman"/>
                <w:color w:val="000000"/>
                <w:lang w:val="fr-CA"/>
              </w:rPr>
              <w:t xml:space="preserve"> demander </w:t>
            </w:r>
            <w:r w:rsidR="002103D9">
              <w:rPr>
                <w:rFonts w:ascii="Calibri" w:eastAsia="Times New Roman" w:hAnsi="Calibri" w:cs="Times New Roman"/>
                <w:color w:val="000000"/>
                <w:lang w:val="fr-CA"/>
              </w:rPr>
              <w:t>aux</w:t>
            </w:r>
            <w:r w:rsidRPr="00C46C0E">
              <w:rPr>
                <w:rFonts w:ascii="Calibri" w:eastAsia="Times New Roman" w:hAnsi="Calibri" w:cs="Times New Roman"/>
                <w:color w:val="000000"/>
                <w:lang w:val="fr-CA"/>
              </w:rPr>
              <w:t xml:space="preserve"> membres compensateurs restants </w:t>
            </w:r>
            <w:r w:rsidR="002103D9">
              <w:rPr>
                <w:rFonts w:ascii="Calibri" w:eastAsia="Times New Roman" w:hAnsi="Calibri" w:cs="Times New Roman"/>
                <w:color w:val="000000"/>
                <w:lang w:val="fr-CA"/>
              </w:rPr>
              <w:t xml:space="preserve">de </w:t>
            </w:r>
            <w:r w:rsidR="002103D9" w:rsidRPr="00C46C0E">
              <w:rPr>
                <w:rFonts w:ascii="Calibri" w:eastAsia="Times New Roman" w:hAnsi="Calibri" w:cs="Times New Roman"/>
                <w:color w:val="000000"/>
                <w:lang w:val="fr-CA"/>
              </w:rPr>
              <w:t>reconstitue</w:t>
            </w:r>
            <w:r w:rsidR="002103D9">
              <w:rPr>
                <w:rFonts w:ascii="Calibri" w:eastAsia="Times New Roman" w:hAnsi="Calibri" w:cs="Times New Roman"/>
                <w:color w:val="000000"/>
                <w:lang w:val="fr-CA"/>
              </w:rPr>
              <w:t>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 xml:space="preserve">leur contribution initiale au fonds de compensation et </w:t>
            </w:r>
            <w:r w:rsidR="00C92937">
              <w:rPr>
                <w:rFonts w:ascii="Calibri" w:eastAsia="Times New Roman" w:hAnsi="Calibri" w:cs="Times New Roman"/>
                <w:color w:val="000000"/>
                <w:lang w:val="fr-CA"/>
              </w:rPr>
              <w:t xml:space="preserve">ainsi </w:t>
            </w:r>
            <w:r w:rsidR="002103D9">
              <w:rPr>
                <w:rFonts w:ascii="Calibri" w:eastAsia="Times New Roman" w:hAnsi="Calibri" w:cs="Times New Roman"/>
                <w:color w:val="000000"/>
                <w:lang w:val="fr-CA"/>
              </w:rPr>
              <w:t>avoir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recours, sur une base proportionnelle selon l’exposition de la CDCC à chaque membre compensateur restant, à un montant dont le total satisfait l’obligation en cours.</w:t>
            </w:r>
            <w:bookmarkEnd w:id="17"/>
          </w:p>
          <w:p w14:paraId="4E3A59BA" w14:textId="3B3E5BAE" w:rsidR="00BB54BE" w:rsidRPr="001C0132" w:rsidRDefault="00BB54BE" w:rsidP="006B76A4">
            <w:pPr>
              <w:spacing w:line="240" w:lineRule="auto"/>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4.1.8. </w:t>
            </w:r>
            <w:bookmarkStart w:id="18" w:name="lt_pId022"/>
            <w:r w:rsidRPr="001C0132">
              <w:rPr>
                <w:rFonts w:ascii="Calibri" w:eastAsia="Times New Roman" w:hAnsi="Calibri" w:cs="Times New Roman"/>
                <w:b/>
                <w:i/>
                <w:color w:val="000000"/>
                <w:lang w:val="fr-CA"/>
              </w:rPr>
              <w:t>Engagement</w:t>
            </w:r>
            <w:r w:rsidR="00DD546E">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 Ressources globales des participants engagées pour répondre à </w:t>
            </w:r>
            <w:bookmarkEnd w:id="18"/>
            <w:r w:rsidRPr="001C0132">
              <w:rPr>
                <w:rFonts w:ascii="Calibri" w:eastAsia="Times New Roman" w:hAnsi="Calibri" w:cs="Times New Roman"/>
                <w:b/>
                <w:i/>
                <w:color w:val="000000"/>
                <w:lang w:val="fr-CA"/>
              </w:rPr>
              <w:t>la défaillance du participant initial</w:t>
            </w:r>
            <w:r w:rsidRPr="001C0132">
              <w:rPr>
                <w:rFonts w:ascii="Calibri" w:eastAsia="Times New Roman" w:hAnsi="Calibri" w:cs="Times New Roman"/>
                <w:color w:val="000000"/>
                <w:lang w:val="fr-CA"/>
              </w:rPr>
              <w:br/>
            </w:r>
          </w:p>
          <w:p w14:paraId="2F9115C1" w14:textId="77777777" w:rsidR="00BB54BE" w:rsidRPr="001C0132" w:rsidRDefault="00BB54BE" w:rsidP="006B76A4">
            <w:pPr>
              <w:spacing w:line="240" w:lineRule="auto"/>
              <w:jc w:val="both"/>
              <w:rPr>
                <w:rFonts w:ascii="Calibri" w:eastAsia="Times New Roman" w:hAnsi="Calibri" w:cs="Times New Roman"/>
                <w:color w:val="000000"/>
                <w:lang w:val="fr-CA"/>
              </w:rPr>
            </w:pPr>
            <w:bookmarkStart w:id="19" w:name="lt_pId023"/>
            <w:r w:rsidRPr="001C0132">
              <w:rPr>
                <w:rFonts w:ascii="Calibri" w:eastAsia="Times New Roman" w:hAnsi="Calibri" w:cs="Times New Roman"/>
                <w:color w:val="000000"/>
                <w:lang w:val="fr-CA"/>
              </w:rPr>
              <w:t>Les ressources engagées par la CDCC pour les cas de défaut sont principalement composées de la reconstitution du deuxième fonds de compensation que réduirait la contribution du défaillant en cas de défaut.</w:t>
            </w:r>
            <w:bookmarkEnd w:id="19"/>
            <w:r w:rsidRPr="001C0132">
              <w:rPr>
                <w:rFonts w:ascii="Calibri" w:eastAsia="Times New Roman" w:hAnsi="Calibri" w:cs="Times New Roman"/>
                <w:color w:val="000000"/>
                <w:lang w:val="fr-CA"/>
              </w:rPr>
              <w:t xml:space="preserve"> </w:t>
            </w:r>
            <w:bookmarkStart w:id="20" w:name="lt_pId024"/>
            <w:r w:rsidRPr="001C0132">
              <w:rPr>
                <w:rFonts w:ascii="Calibri" w:eastAsia="Times New Roman" w:hAnsi="Calibri" w:cs="Times New Roman"/>
                <w:color w:val="000000"/>
                <w:lang w:val="fr-CA"/>
              </w:rPr>
              <w:t>Par conséquent, puisque le défaillant est inconnu, le montant déclaré des ressources engagées correspond à la taille du fonds de compensation.</w:t>
            </w:r>
            <w:bookmarkEnd w:id="20"/>
          </w:p>
          <w:p w14:paraId="767D9FD6" w14:textId="77777777" w:rsidR="00BB54BE" w:rsidRPr="001C0132" w:rsidRDefault="00BB54BE" w:rsidP="006B76A4">
            <w:pPr>
              <w:rPr>
                <w:rFonts w:ascii="Calibri" w:eastAsia="Times New Roman" w:hAnsi="Calibri" w:cs="Times New Roman"/>
                <w:color w:val="000000"/>
                <w:lang w:val="fr-CA"/>
              </w:rPr>
            </w:pPr>
          </w:p>
          <w:p w14:paraId="4C69CCDA" w14:textId="77777777" w:rsidR="00BB54BE" w:rsidRPr="001C0132" w:rsidRDefault="00BB54BE" w:rsidP="006B76A4">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4.4. Divulgations portant sur le risque de crédit</w:t>
            </w:r>
          </w:p>
          <w:p w14:paraId="11E4A7A2" w14:textId="77777777" w:rsidR="00BB54BE" w:rsidRPr="001C0132" w:rsidRDefault="00BB54BE" w:rsidP="006B76A4">
            <w:pPr>
              <w:spacing w:line="240" w:lineRule="auto"/>
              <w:rPr>
                <w:rFonts w:ascii="Calibri" w:eastAsia="Times New Roman" w:hAnsi="Calibri" w:cs="Times New Roman"/>
                <w:b/>
                <w:i/>
                <w:color w:val="000000"/>
                <w:lang w:val="fr-CA"/>
              </w:rPr>
            </w:pPr>
          </w:p>
          <w:p w14:paraId="68260851" w14:textId="77777777" w:rsidR="00BB54BE" w:rsidRPr="001C0132" w:rsidRDefault="00BB54BE" w:rsidP="00BB54BE">
            <w:pPr>
              <w:pStyle w:val="Paragraphedeliste"/>
              <w:numPr>
                <w:ilvl w:val="0"/>
                <w:numId w:val="29"/>
              </w:numPr>
              <w:spacing w:line="276" w:lineRule="auto"/>
              <w:contextualSpacing/>
              <w:jc w:val="both"/>
              <w:rPr>
                <w:color w:val="000000"/>
                <w:lang w:eastAsia="en-US"/>
              </w:rPr>
            </w:pPr>
            <w:bookmarkStart w:id="21" w:name="lt_pId029"/>
            <w:r w:rsidRPr="001C0132">
              <w:rPr>
                <w:color w:val="000000"/>
                <w:lang w:eastAsia="en-US"/>
              </w:rPr>
              <w:t>L’exposition estimée et réelle au risque de crédit est calculée en fonction de la marge initiale requise.</w:t>
            </w:r>
            <w:bookmarkEnd w:id="21"/>
          </w:p>
          <w:p w14:paraId="1619FA9F" w14:textId="39C06C5D" w:rsidR="00BB54BE" w:rsidRDefault="00BB54BE" w:rsidP="00BB54BE">
            <w:pPr>
              <w:pStyle w:val="Paragraphedeliste"/>
              <w:numPr>
                <w:ilvl w:val="0"/>
                <w:numId w:val="29"/>
              </w:numPr>
              <w:spacing w:line="276" w:lineRule="auto"/>
              <w:contextualSpacing/>
              <w:jc w:val="both"/>
              <w:rPr>
                <w:color w:val="000000"/>
                <w:lang w:eastAsia="en-US"/>
              </w:rPr>
            </w:pPr>
            <w:bookmarkStart w:id="22" w:name="lt_pId030"/>
            <w:r w:rsidRPr="001C0132">
              <w:rPr>
                <w:color w:val="000000"/>
                <w:lang w:eastAsia="en-US"/>
              </w:rPr>
              <w:t xml:space="preserve">L’exposition au risque de </w:t>
            </w:r>
            <w:r w:rsidR="00533713" w:rsidRPr="001C0132">
              <w:rPr>
                <w:color w:val="000000"/>
                <w:lang w:eastAsia="en-US"/>
              </w:rPr>
              <w:t>crédit</w:t>
            </w:r>
            <w:r w:rsidRPr="001C0132">
              <w:rPr>
                <w:color w:val="000000"/>
                <w:lang w:eastAsia="en-US"/>
              </w:rPr>
              <w:t xml:space="preserve"> est établie à zéro si elle génère un rapport profits et pertes positif.</w:t>
            </w:r>
            <w:bookmarkEnd w:id="22"/>
          </w:p>
          <w:p w14:paraId="260A00FB" w14:textId="4F308881" w:rsidR="00F86D3B" w:rsidRPr="00F86D3B" w:rsidRDefault="00F86D3B" w:rsidP="00F86D3B">
            <w:pPr>
              <w:pStyle w:val="Paragraphedeliste"/>
              <w:numPr>
                <w:ilvl w:val="0"/>
                <w:numId w:val="29"/>
              </w:numPr>
              <w:contextualSpacing/>
              <w:jc w:val="both"/>
              <w:rPr>
                <w:color w:val="000000"/>
                <w:lang w:eastAsia="en-US"/>
              </w:rPr>
            </w:pPr>
            <w:r w:rsidRPr="00F86D3B">
              <w:rPr>
                <w:color w:val="000000"/>
                <w:lang w:eastAsia="en-US"/>
              </w:rPr>
              <w:t>Le montant indiqué au point 4.4.5 correspond à la perte globale sous contrainte</w:t>
            </w:r>
            <w:r>
              <w:rPr>
                <w:color w:val="000000"/>
                <w:lang w:eastAsia="en-US"/>
              </w:rPr>
              <w:t xml:space="preserve"> </w:t>
            </w:r>
            <w:r w:rsidRPr="00F86D3B">
              <w:rPr>
                <w:color w:val="000000"/>
                <w:lang w:val="fr-FR" w:eastAsia="en-US"/>
              </w:rPr>
              <w:t>supérieure aux ressources réelles de défaut préfinancées (et supérieure à la marge initiale).</w:t>
            </w:r>
          </w:p>
          <w:p w14:paraId="748CA61A" w14:textId="77777777" w:rsidR="00BB54BE" w:rsidRPr="001C0132" w:rsidRDefault="00BB54BE" w:rsidP="006B76A4">
            <w:pPr>
              <w:spacing w:line="240" w:lineRule="auto"/>
              <w:ind w:left="391"/>
              <w:rPr>
                <w:rFonts w:ascii="Calibri" w:eastAsia="Times New Roman" w:hAnsi="Calibri" w:cs="Times New Roman"/>
                <w:lang w:val="fr-CA"/>
              </w:rPr>
            </w:pPr>
          </w:p>
          <w:p w14:paraId="52CD1FB7" w14:textId="393BF0D5" w:rsidR="00BB54BE" w:rsidRPr="001C0132" w:rsidRDefault="00BB54BE" w:rsidP="006B76A4">
            <w:pPr>
              <w:spacing w:line="240" w:lineRule="auto"/>
              <w:jc w:val="both"/>
              <w:rPr>
                <w:rFonts w:ascii="Calibri" w:eastAsia="Times New Roman" w:hAnsi="Calibri" w:cs="Times New Roman"/>
                <w:b/>
                <w:i/>
                <w:lang w:val="fr-CA"/>
              </w:rPr>
            </w:pPr>
            <w:r w:rsidRPr="001C0132">
              <w:rPr>
                <w:rFonts w:ascii="Calibri" w:eastAsia="Times New Roman" w:hAnsi="Calibri" w:cs="Times New Roman"/>
                <w:b/>
                <w:i/>
                <w:lang w:val="fr-CA"/>
              </w:rPr>
              <w:t xml:space="preserve">4.4.2. </w:t>
            </w:r>
            <w:bookmarkStart w:id="23" w:name="lt_pId033"/>
            <w:r w:rsidRPr="001C0132">
              <w:rPr>
                <w:rFonts w:ascii="Calibri" w:eastAsia="Times New Roman" w:hAnsi="Calibri" w:cs="Times New Roman"/>
                <w:b/>
                <w:i/>
                <w:lang w:val="fr-CA"/>
              </w:rPr>
              <w:t xml:space="preserve">Pour chaque service de compensation, indiquer le nombre de jours ouvrables durant lesquels la contrepartie centrale de compensation </w:t>
            </w:r>
            <w:r w:rsidR="00DD546E">
              <w:rPr>
                <w:rFonts w:ascii="Calibri" w:eastAsia="Times New Roman" w:hAnsi="Calibri" w:cs="Times New Roman"/>
                <w:b/>
                <w:i/>
                <w:lang w:val="fr-CA"/>
              </w:rPr>
              <w:t xml:space="preserve">entend </w:t>
            </w:r>
            <w:r w:rsidRPr="001C0132">
              <w:rPr>
                <w:rFonts w:ascii="Calibri" w:eastAsia="Times New Roman" w:hAnsi="Calibri" w:cs="Times New Roman"/>
                <w:b/>
                <w:i/>
                <w:lang w:val="fr-CA"/>
              </w:rPr>
              <w:t>dénouer la position défaillante lors du calcul des expositions au risque de crédit susceptibles de devoir être couvertes par le fonds de défaillance.</w:t>
            </w:r>
            <w:bookmarkEnd w:id="23"/>
          </w:p>
          <w:p w14:paraId="22469B74" w14:textId="77777777" w:rsidR="00BB54BE" w:rsidRPr="001C0132" w:rsidRDefault="00BB54BE" w:rsidP="006B76A4">
            <w:pPr>
              <w:spacing w:line="240" w:lineRule="auto"/>
              <w:jc w:val="both"/>
              <w:rPr>
                <w:rFonts w:ascii="Calibri" w:eastAsia="Times New Roman" w:hAnsi="Calibri" w:cs="Times New Roman"/>
                <w:b/>
                <w:i/>
                <w:lang w:val="fr-CA"/>
              </w:rPr>
            </w:pPr>
          </w:p>
          <w:p w14:paraId="0FCD5FEE" w14:textId="4F7AE83C" w:rsidR="00BB54BE" w:rsidRDefault="00BB54BE" w:rsidP="00C92937">
            <w:pPr>
              <w:spacing w:line="240" w:lineRule="auto"/>
              <w:jc w:val="both"/>
              <w:rPr>
                <w:rFonts w:ascii="Calibri" w:eastAsia="Times New Roman" w:hAnsi="Calibri" w:cs="Times New Roman"/>
                <w:color w:val="000000" w:themeColor="text1"/>
                <w:lang w:val="fr-CA"/>
              </w:rPr>
            </w:pPr>
            <w:bookmarkStart w:id="24" w:name="lt_pId034"/>
            <w:r w:rsidRPr="001C0132">
              <w:rPr>
                <w:rFonts w:ascii="Calibri" w:eastAsia="Times New Roman" w:hAnsi="Calibri" w:cs="Times New Roman"/>
                <w:color w:val="000000" w:themeColor="text1"/>
                <w:lang w:val="fr-CA"/>
              </w:rPr>
              <w:t>En cas de défaut, il est supposé que la CDCC dénouera les positions du défaillant dans les deux jours.</w:t>
            </w:r>
            <w:bookmarkEnd w:id="24"/>
          </w:p>
          <w:p w14:paraId="54E5D94B" w14:textId="77777777" w:rsidR="0054608F" w:rsidRDefault="0054608F" w:rsidP="00C92937">
            <w:pPr>
              <w:spacing w:line="240" w:lineRule="auto"/>
              <w:jc w:val="both"/>
              <w:rPr>
                <w:rFonts w:ascii="Calibri" w:eastAsia="Times New Roman" w:hAnsi="Calibri" w:cs="Times New Roman"/>
                <w:color w:val="000000" w:themeColor="text1"/>
                <w:lang w:val="fr-CA"/>
              </w:rPr>
            </w:pPr>
          </w:p>
          <w:p w14:paraId="5A207C2F" w14:textId="25716EB4" w:rsidR="0054608F" w:rsidRPr="0054608F" w:rsidRDefault="0054608F" w:rsidP="0054608F">
            <w:pPr>
              <w:spacing w:line="240" w:lineRule="auto"/>
              <w:jc w:val="both"/>
              <w:rPr>
                <w:rFonts w:ascii="Calibri" w:eastAsia="Times New Roman" w:hAnsi="Calibri" w:cs="Times New Roman"/>
                <w:b/>
                <w:i/>
                <w:lang w:val="fr-CA"/>
              </w:rPr>
            </w:pPr>
            <w:r w:rsidRPr="0054608F">
              <w:rPr>
                <w:rFonts w:ascii="Calibri" w:eastAsia="Times New Roman" w:hAnsi="Calibri" w:cs="Times New Roman"/>
                <w:b/>
                <w:i/>
                <w:lang w:val="fr-CA"/>
              </w:rPr>
              <w:t xml:space="preserve">4.4.4. Indiquer le nombre de jours ouvrables, le cas échéant, </w:t>
            </w:r>
            <w:r>
              <w:rPr>
                <w:rFonts w:ascii="Calibri" w:eastAsia="Times New Roman" w:hAnsi="Calibri" w:cs="Times New Roman"/>
                <w:b/>
                <w:i/>
                <w:lang w:val="fr-CA"/>
              </w:rPr>
              <w:t>où le</w:t>
            </w:r>
            <w:r w:rsidRPr="0054608F">
              <w:rPr>
                <w:rFonts w:ascii="Calibri" w:eastAsia="Times New Roman" w:hAnsi="Calibri" w:cs="Times New Roman"/>
                <w:b/>
                <w:i/>
                <w:lang w:val="fr-CA"/>
              </w:rPr>
              <w:t xml:space="preserve"> montant </w:t>
            </w:r>
            <w:r>
              <w:rPr>
                <w:rFonts w:ascii="Calibri" w:eastAsia="Times New Roman" w:hAnsi="Calibri" w:cs="Times New Roman"/>
                <w:b/>
                <w:i/>
                <w:lang w:val="fr-CA"/>
              </w:rPr>
              <w:t>indiqué en</w:t>
            </w:r>
            <w:r w:rsidRPr="0054608F">
              <w:rPr>
                <w:rFonts w:ascii="Calibri" w:eastAsia="Times New Roman" w:hAnsi="Calibri" w:cs="Times New Roman"/>
                <w:b/>
                <w:i/>
                <w:lang w:val="fr-CA"/>
              </w:rPr>
              <w:t xml:space="preserve"> (4.4.3) a dépassé les ressources </w:t>
            </w:r>
            <w:r w:rsidR="00EF7F96">
              <w:rPr>
                <w:rFonts w:ascii="Calibri" w:eastAsia="Times New Roman" w:hAnsi="Calibri" w:cs="Times New Roman"/>
                <w:b/>
                <w:i/>
                <w:lang w:val="fr-CA"/>
              </w:rPr>
              <w:t>de défaut</w:t>
            </w:r>
            <w:r w:rsidRPr="0054608F">
              <w:rPr>
                <w:rFonts w:ascii="Calibri" w:eastAsia="Times New Roman" w:hAnsi="Calibri" w:cs="Times New Roman"/>
                <w:b/>
                <w:i/>
                <w:lang w:val="fr-CA"/>
              </w:rPr>
              <w:t xml:space="preserve"> préfinancées (supérieures à la marge initiale).</w:t>
            </w:r>
          </w:p>
          <w:p w14:paraId="2B4908BE" w14:textId="77777777" w:rsidR="0054608F" w:rsidRPr="0054608F" w:rsidRDefault="0054608F" w:rsidP="005460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inherit" w:eastAsia="Times New Roman" w:hAnsi="inherit" w:cs="Courier New"/>
                <w:color w:val="212121"/>
                <w:sz w:val="20"/>
                <w:szCs w:val="20"/>
                <w:lang w:val="fr-FR"/>
              </w:rPr>
            </w:pPr>
          </w:p>
          <w:p w14:paraId="0BB0C723" w14:textId="719480F7" w:rsidR="0054608F" w:rsidRDefault="004B67D8" w:rsidP="0054499D">
            <w:pPr>
              <w:spacing w:line="240" w:lineRule="auto"/>
              <w:jc w:val="both"/>
              <w:rPr>
                <w:rFonts w:ascii="Calibri" w:eastAsia="Times New Roman" w:hAnsi="Calibri" w:cs="Times New Roman"/>
                <w:color w:val="000000" w:themeColor="text1"/>
                <w:lang w:val="fr-CA"/>
              </w:rPr>
            </w:pPr>
            <w:r>
              <w:rPr>
                <w:rFonts w:ascii="Calibri" w:eastAsia="Times New Roman" w:hAnsi="Calibri" w:cs="Times New Roman"/>
                <w:color w:val="000000" w:themeColor="text1"/>
                <w:lang w:val="fr-CA"/>
              </w:rPr>
              <w:t>La CDCC tient compte de la</w:t>
            </w:r>
            <w:r w:rsidR="0054608F" w:rsidRPr="0054608F">
              <w:rPr>
                <w:rFonts w:ascii="Calibri" w:eastAsia="Times New Roman" w:hAnsi="Calibri" w:cs="Times New Roman"/>
                <w:color w:val="000000" w:themeColor="text1"/>
                <w:lang w:val="fr-CA"/>
              </w:rPr>
              <w:t xml:space="preserve"> </w:t>
            </w:r>
            <w:r>
              <w:rPr>
                <w:rFonts w:ascii="Calibri" w:eastAsia="Times New Roman" w:hAnsi="Calibri" w:cs="Times New Roman"/>
                <w:color w:val="000000" w:themeColor="text1"/>
                <w:lang w:val="fr-CA"/>
              </w:rPr>
              <w:t>m</w:t>
            </w:r>
            <w:r w:rsidRPr="004B67D8">
              <w:rPr>
                <w:rFonts w:ascii="Calibri" w:eastAsia="Times New Roman" w:hAnsi="Calibri" w:cs="Times New Roman"/>
                <w:color w:val="000000" w:themeColor="text1"/>
                <w:lang w:val="fr-CA"/>
              </w:rPr>
              <w:t>arge supplémentaire pour le risque de corrélation défavorable spécifique</w:t>
            </w:r>
            <w:r>
              <w:rPr>
                <w:rFonts w:ascii="Calibri" w:eastAsia="Times New Roman" w:hAnsi="Calibri" w:cs="Times New Roman"/>
                <w:color w:val="000000" w:themeColor="text1"/>
                <w:lang w:val="fr-CA"/>
              </w:rPr>
              <w:t xml:space="preserve"> ainsi que de la m</w:t>
            </w:r>
            <w:r w:rsidRPr="004B67D8">
              <w:rPr>
                <w:rFonts w:ascii="Calibri" w:eastAsia="Times New Roman" w:hAnsi="Calibri" w:cs="Times New Roman"/>
                <w:color w:val="000000" w:themeColor="text1"/>
                <w:lang w:val="fr-CA"/>
              </w:rPr>
              <w:t>arge de capitalisation supplémentaire</w:t>
            </w:r>
            <w:r>
              <w:rPr>
                <w:rFonts w:ascii="Calibri" w:eastAsia="Times New Roman" w:hAnsi="Calibri" w:cs="Times New Roman"/>
                <w:color w:val="000000" w:themeColor="text1"/>
                <w:lang w:val="fr-CA"/>
              </w:rPr>
              <w:t xml:space="preserve"> </w:t>
            </w:r>
            <w:r w:rsidR="0054608F" w:rsidRPr="0054608F">
              <w:rPr>
                <w:rFonts w:ascii="Calibri" w:eastAsia="Times New Roman" w:hAnsi="Calibri" w:cs="Times New Roman"/>
                <w:color w:val="000000" w:themeColor="text1"/>
                <w:lang w:val="fr-CA"/>
              </w:rPr>
              <w:t xml:space="preserve">pour déterminer si la perte </w:t>
            </w:r>
            <w:r w:rsidR="0054499D">
              <w:rPr>
                <w:rFonts w:ascii="Calibri" w:eastAsia="Times New Roman" w:hAnsi="Calibri" w:cs="Times New Roman"/>
                <w:color w:val="000000" w:themeColor="text1"/>
                <w:lang w:val="fr-CA"/>
              </w:rPr>
              <w:t>globale sous contrainte</w:t>
            </w:r>
            <w:r w:rsidR="0054608F" w:rsidRPr="0054608F">
              <w:rPr>
                <w:rFonts w:ascii="Calibri" w:eastAsia="Times New Roman" w:hAnsi="Calibri" w:cs="Times New Roman"/>
                <w:color w:val="000000" w:themeColor="text1"/>
                <w:lang w:val="fr-CA"/>
              </w:rPr>
              <w:t xml:space="preserve"> a dépassé les ressources </w:t>
            </w:r>
            <w:r w:rsidR="0054499D">
              <w:rPr>
                <w:rFonts w:ascii="Calibri" w:eastAsia="Times New Roman" w:hAnsi="Calibri" w:cs="Times New Roman"/>
                <w:color w:val="000000" w:themeColor="text1"/>
                <w:lang w:val="fr-CA"/>
              </w:rPr>
              <w:t>de</w:t>
            </w:r>
            <w:r w:rsidR="0054608F" w:rsidRPr="0054608F">
              <w:rPr>
                <w:rFonts w:ascii="Calibri" w:eastAsia="Times New Roman" w:hAnsi="Calibri" w:cs="Times New Roman"/>
                <w:color w:val="000000" w:themeColor="text1"/>
                <w:lang w:val="fr-CA"/>
              </w:rPr>
              <w:t xml:space="preserve"> défaut préfinancées.</w:t>
            </w:r>
          </w:p>
          <w:p w14:paraId="09C6812B" w14:textId="1911BE9E" w:rsidR="00EF7F96" w:rsidRPr="0054608F" w:rsidRDefault="00EF7F96" w:rsidP="0054499D">
            <w:pPr>
              <w:spacing w:line="240" w:lineRule="auto"/>
              <w:jc w:val="both"/>
              <w:rPr>
                <w:rFonts w:ascii="inherit" w:eastAsia="Times New Roman" w:hAnsi="inherit" w:cs="Courier New"/>
                <w:color w:val="212121"/>
                <w:sz w:val="20"/>
                <w:szCs w:val="20"/>
                <w:lang w:val="fr-CA"/>
              </w:rPr>
            </w:pPr>
          </w:p>
        </w:tc>
      </w:tr>
      <w:tr w:rsidR="00BB54BE" w:rsidRPr="007055E7" w14:paraId="60602290" w14:textId="77777777" w:rsidTr="006B76A4">
        <w:trPr>
          <w:trHeight w:val="116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18FCB45"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5</w:t>
            </w:r>
          </w:p>
        </w:tc>
        <w:tc>
          <w:tcPr>
            <w:tcW w:w="7767" w:type="dxa"/>
            <w:tcBorders>
              <w:top w:val="single" w:sz="4" w:space="0" w:color="auto"/>
              <w:left w:val="single" w:sz="4" w:space="0" w:color="auto"/>
              <w:bottom w:val="single" w:sz="4" w:space="0" w:color="auto"/>
              <w:right w:val="single" w:sz="4" w:space="0" w:color="auto"/>
            </w:tcBorders>
            <w:vAlign w:val="center"/>
          </w:tcPr>
          <w:p w14:paraId="4475FFF1" w14:textId="77777777" w:rsidR="00BB54BE" w:rsidRPr="001C0132" w:rsidRDefault="00BB54BE" w:rsidP="006B76A4">
            <w:pPr>
              <w:spacing w:line="240" w:lineRule="auto"/>
              <w:rPr>
                <w:rFonts w:ascii="Calibri" w:eastAsia="Times New Roman" w:hAnsi="Calibri" w:cs="Times New Roman"/>
                <w:color w:val="000000"/>
                <w:lang w:val="fr-CA"/>
              </w:rPr>
            </w:pPr>
          </w:p>
          <w:p w14:paraId="7DE88D46" w14:textId="7B709F81" w:rsidR="00BB54BE" w:rsidRPr="001C0132" w:rsidRDefault="00BB54BE" w:rsidP="006B76A4">
            <w:pPr>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5.3.2. </w:t>
            </w:r>
            <w:bookmarkStart w:id="25" w:name="lt_pId038"/>
            <w:r w:rsidRPr="001C0132">
              <w:rPr>
                <w:rFonts w:ascii="Calibri" w:eastAsia="Times New Roman" w:hAnsi="Calibri" w:cs="Times New Roman"/>
                <w:b/>
                <w:i/>
                <w:color w:val="000000"/>
                <w:lang w:val="fr-CA"/>
              </w:rPr>
              <w:t xml:space="preserve">Période de </w:t>
            </w:r>
            <w:r w:rsidR="0096778A">
              <w:rPr>
                <w:rFonts w:ascii="Calibri" w:eastAsia="Times New Roman" w:hAnsi="Calibri" w:cs="Times New Roman"/>
                <w:b/>
                <w:i/>
                <w:color w:val="000000"/>
                <w:lang w:val="fr-CA"/>
              </w:rPr>
              <w:t>détention</w:t>
            </w:r>
            <w:r w:rsidR="0096778A" w:rsidRPr="001C0132">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et de liquidation présumée pour les actifs </w:t>
            </w:r>
            <w:bookmarkEnd w:id="25"/>
            <w:r w:rsidRPr="001C0132">
              <w:rPr>
                <w:rFonts w:ascii="Calibri" w:eastAsia="Times New Roman" w:hAnsi="Calibri" w:cs="Times New Roman"/>
                <w:b/>
                <w:i/>
                <w:color w:val="000000"/>
                <w:lang w:val="fr-CA"/>
              </w:rPr>
              <w:t>acceptés</w:t>
            </w:r>
          </w:p>
          <w:p w14:paraId="5D80B6A1" w14:textId="77777777" w:rsidR="00BB54BE" w:rsidRPr="001C0132" w:rsidRDefault="00BB54BE" w:rsidP="006B76A4">
            <w:pPr>
              <w:spacing w:line="240" w:lineRule="auto"/>
              <w:rPr>
                <w:rFonts w:ascii="Calibri" w:eastAsia="Times New Roman" w:hAnsi="Calibri" w:cs="Times New Roman"/>
                <w:b/>
                <w:i/>
                <w:color w:val="000000"/>
                <w:lang w:val="fr-CA"/>
              </w:rPr>
            </w:pPr>
          </w:p>
          <w:p w14:paraId="2DEB369A" w14:textId="1F4D8F4B" w:rsidR="00BB54BE" w:rsidRPr="0096778A" w:rsidRDefault="00D77F04" w:rsidP="006B76A4">
            <w:pPr>
              <w:spacing w:line="240" w:lineRule="auto"/>
              <w:rPr>
                <w:rFonts w:ascii="Calibri" w:eastAsia="Times New Roman" w:hAnsi="Calibri" w:cs="Times New Roman"/>
                <w:color w:val="FF0000"/>
                <w:lang w:val="fr-CA"/>
              </w:rPr>
            </w:pPr>
            <w:bookmarkStart w:id="26" w:name="lt_pId039"/>
            <w:r>
              <w:rPr>
                <w:rFonts w:ascii="Calibri" w:eastAsia="Times New Roman" w:hAnsi="Calibri" w:cs="Times New Roman"/>
                <w:color w:val="000000"/>
                <w:lang w:val="fr-CA"/>
              </w:rPr>
              <w:t>Période de liquidation pour tous les</w:t>
            </w:r>
            <w:r w:rsidR="00BB54BE" w:rsidRPr="0096778A">
              <w:rPr>
                <w:rFonts w:ascii="Calibri" w:eastAsia="Times New Roman" w:hAnsi="Calibri" w:cs="Times New Roman"/>
                <w:color w:val="000000"/>
                <w:lang w:val="fr-CA"/>
              </w:rPr>
              <w:t xml:space="preserve"> </w:t>
            </w:r>
            <w:r w:rsidR="00452DED">
              <w:rPr>
                <w:rFonts w:ascii="Calibri" w:eastAsia="Times New Roman" w:hAnsi="Calibri" w:cs="Times New Roman"/>
                <w:color w:val="000000"/>
                <w:lang w:val="fr-CA"/>
              </w:rPr>
              <w:t>actifs</w:t>
            </w:r>
            <w:r w:rsidR="00BB54BE" w:rsidRPr="0096778A">
              <w:rPr>
                <w:rFonts w:ascii="Calibri" w:eastAsia="Times New Roman" w:hAnsi="Calibri" w:cs="Times New Roman"/>
                <w:color w:val="000000"/>
                <w:lang w:val="fr-CA"/>
              </w:rPr>
              <w:t> :</w:t>
            </w:r>
            <w:bookmarkEnd w:id="26"/>
            <w:r w:rsidR="00BB54BE" w:rsidRPr="00D77F04">
              <w:rPr>
                <w:rFonts w:ascii="Calibri" w:eastAsia="Times New Roman" w:hAnsi="Calibri" w:cs="Times New Roman"/>
                <w:color w:val="000000"/>
                <w:szCs w:val="24"/>
                <w:lang w:val="fr-CA"/>
              </w:rPr>
              <w:t xml:space="preserve"> </w:t>
            </w:r>
            <w:r w:rsidRPr="00D77F04">
              <w:rPr>
                <w:rFonts w:ascii="Calibri" w:eastAsia="Times New Roman" w:hAnsi="Calibri" w:cs="Times New Roman"/>
                <w:color w:val="000000"/>
                <w:szCs w:val="24"/>
                <w:lang w:val="fr-CA"/>
              </w:rPr>
              <w:t>2 jours</w:t>
            </w:r>
          </w:p>
          <w:p w14:paraId="7BEFE6D9" w14:textId="77777777" w:rsidR="00BB54BE" w:rsidRPr="00452DED" w:rsidRDefault="00BB54BE" w:rsidP="00D77F04">
            <w:pPr>
              <w:rPr>
                <w:color w:val="000000"/>
                <w:lang w:val="fr-CA"/>
              </w:rPr>
            </w:pPr>
          </w:p>
          <w:p w14:paraId="3D77FD3B" w14:textId="77777777" w:rsidR="00BB54BE" w:rsidRPr="001C0132" w:rsidRDefault="00BB54BE" w:rsidP="006B76A4">
            <w:pPr>
              <w:pStyle w:val="Paragraphedeliste"/>
              <w:spacing w:line="276" w:lineRule="auto"/>
              <w:ind w:left="0"/>
              <w:rPr>
                <w:b/>
                <w:i/>
                <w:lang w:eastAsia="en-US"/>
              </w:rPr>
            </w:pPr>
            <w:r w:rsidRPr="001C0132">
              <w:rPr>
                <w:b/>
                <w:i/>
                <w:color w:val="000000"/>
                <w:lang w:eastAsia="en-US"/>
              </w:rPr>
              <w:t>5.3.4.</w:t>
            </w:r>
            <w:r w:rsidRPr="001C0132">
              <w:rPr>
                <w:b/>
                <w:i/>
                <w:lang w:eastAsia="en-US"/>
              </w:rPr>
              <w:t xml:space="preserve"> Résultats des essais de décotes</w:t>
            </w:r>
          </w:p>
          <w:p w14:paraId="3F3A9793" w14:textId="77777777" w:rsidR="00BB54BE" w:rsidRPr="001C0132" w:rsidRDefault="00BB54BE" w:rsidP="006B76A4">
            <w:pPr>
              <w:pStyle w:val="Paragraphedeliste"/>
              <w:spacing w:line="276" w:lineRule="auto"/>
              <w:ind w:left="0"/>
              <w:rPr>
                <w:lang w:eastAsia="en-US"/>
              </w:rPr>
            </w:pPr>
          </w:p>
          <w:p w14:paraId="45D5C5C2" w14:textId="2FEE131D" w:rsidR="00BB54BE" w:rsidRPr="001C0132" w:rsidRDefault="00BB54BE" w:rsidP="006B76A4">
            <w:pPr>
              <w:pStyle w:val="Paragraphedeliste"/>
              <w:spacing w:line="276" w:lineRule="auto"/>
              <w:ind w:left="0"/>
              <w:jc w:val="both"/>
              <w:rPr>
                <w:color w:val="000000"/>
                <w:lang w:eastAsia="en-US"/>
              </w:rPr>
            </w:pPr>
            <w:bookmarkStart w:id="27" w:name="lt_pId047"/>
            <w:r w:rsidRPr="001C0132">
              <w:rPr>
                <w:lang w:eastAsia="en-US"/>
              </w:rPr>
              <w:t xml:space="preserve">Le nombre de jours correspond au </w:t>
            </w:r>
            <w:r w:rsidRPr="001C0132">
              <w:rPr>
                <w:u w:val="single"/>
                <w:lang w:eastAsia="en-US"/>
              </w:rPr>
              <w:t xml:space="preserve">nombre moyen </w:t>
            </w:r>
            <w:r w:rsidR="00DD546E">
              <w:rPr>
                <w:u w:val="single"/>
                <w:lang w:eastAsia="en-US"/>
              </w:rPr>
              <w:t>d’</w:t>
            </w:r>
            <w:r w:rsidRPr="001C0132">
              <w:rPr>
                <w:u w:val="single"/>
                <w:lang w:eastAsia="en-US"/>
              </w:rPr>
              <w:t>échecs par actif</w:t>
            </w:r>
            <w:r w:rsidRPr="001C0132">
              <w:rPr>
                <w:lang w:eastAsia="en-US"/>
              </w:rPr>
              <w:t xml:space="preserve"> au cours de la période considérée.</w:t>
            </w:r>
            <w:bookmarkEnd w:id="27"/>
            <w:r w:rsidRPr="001C0132">
              <w:rPr>
                <w:lang w:eastAsia="en-US"/>
              </w:rPr>
              <w:t xml:space="preserve"> </w:t>
            </w:r>
            <w:bookmarkStart w:id="28" w:name="lt_pId048"/>
            <w:r w:rsidRPr="001C0132">
              <w:rPr>
                <w:color w:val="000000"/>
                <w:lang w:eastAsia="en-US"/>
              </w:rPr>
              <w:t xml:space="preserve">À titre d’information complémentaire, les résultats des contrôles </w:t>
            </w:r>
            <w:r w:rsidR="00DD546E">
              <w:rPr>
                <w:color w:val="000000"/>
                <w:lang w:eastAsia="en-US"/>
              </w:rPr>
              <w:t>ex post</w:t>
            </w:r>
            <w:r w:rsidRPr="001C0132">
              <w:rPr>
                <w:color w:val="000000"/>
                <w:lang w:eastAsia="en-US"/>
              </w:rPr>
              <w:t xml:space="preserve"> des décotes ont été inclus au niveau de l’actif :</w:t>
            </w:r>
            <w:bookmarkEnd w:id="28"/>
          </w:p>
          <w:p w14:paraId="351077C6" w14:textId="5D9C119C" w:rsidR="00BB54BE" w:rsidRPr="004F5C59" w:rsidRDefault="00107127" w:rsidP="00BB54BE">
            <w:pPr>
              <w:pStyle w:val="Paragraphedeliste"/>
              <w:numPr>
                <w:ilvl w:val="0"/>
                <w:numId w:val="29"/>
              </w:numPr>
              <w:spacing w:line="276" w:lineRule="auto"/>
              <w:contextualSpacing/>
              <w:jc w:val="both"/>
              <w:rPr>
                <w:color w:val="000000"/>
                <w:lang w:eastAsia="en-US"/>
              </w:rPr>
            </w:pPr>
            <w:bookmarkStart w:id="29" w:name="lt_pId049"/>
            <w:r>
              <w:rPr>
                <w:color w:val="000000"/>
                <w:lang w:eastAsia="en-US"/>
              </w:rPr>
              <w:t>309</w:t>
            </w:r>
            <w:r w:rsidR="00BB54BE" w:rsidRPr="004F5C59">
              <w:rPr>
                <w:color w:val="000000"/>
                <w:lang w:eastAsia="en-US"/>
              </w:rPr>
              <w:t xml:space="preserve"> échecs sur </w:t>
            </w:r>
            <w:r w:rsidR="00B814EB" w:rsidRPr="004F5C59">
              <w:rPr>
                <w:color w:val="000000"/>
                <w:lang w:eastAsia="en-US"/>
              </w:rPr>
              <w:t>2</w:t>
            </w:r>
            <w:r>
              <w:rPr>
                <w:color w:val="000000"/>
                <w:lang w:eastAsia="en-US"/>
              </w:rPr>
              <w:t>24 246</w:t>
            </w:r>
            <w:r w:rsidR="009A70F8" w:rsidRPr="004F5C59">
              <w:rPr>
                <w:color w:val="000000"/>
                <w:lang w:eastAsia="en-US"/>
              </w:rPr>
              <w:t xml:space="preserve"> </w:t>
            </w:r>
            <w:r w:rsidR="00BB54BE" w:rsidRPr="004F5C59">
              <w:rPr>
                <w:color w:val="000000"/>
                <w:lang w:eastAsia="en-US"/>
              </w:rPr>
              <w:t>essais</w:t>
            </w:r>
            <w:r w:rsidR="00F40A52" w:rsidRPr="004F5C59">
              <w:rPr>
                <w:color w:val="000000"/>
                <w:lang w:eastAsia="en-US"/>
              </w:rPr>
              <w:t xml:space="preserve"> pour les obligations</w:t>
            </w:r>
            <w:r w:rsidR="00BB54BE" w:rsidRPr="004F5C59">
              <w:rPr>
                <w:color w:val="000000"/>
                <w:lang w:eastAsia="en-US"/>
              </w:rPr>
              <w:t>, ce qui correspond à un tau</w:t>
            </w:r>
            <w:r w:rsidR="007C16CF" w:rsidRPr="004F5C59">
              <w:rPr>
                <w:color w:val="000000"/>
                <w:lang w:eastAsia="en-US"/>
              </w:rPr>
              <w:t xml:space="preserve">x </w:t>
            </w:r>
            <w:r>
              <w:rPr>
                <w:color w:val="000000"/>
                <w:lang w:eastAsia="en-US"/>
              </w:rPr>
              <w:t>de couverture atteint de 99,86</w:t>
            </w:r>
            <w:r w:rsidR="00BB54BE" w:rsidRPr="004F5C59">
              <w:rPr>
                <w:color w:val="000000"/>
                <w:lang w:eastAsia="en-US"/>
              </w:rPr>
              <w:t> %</w:t>
            </w:r>
            <w:bookmarkEnd w:id="29"/>
            <w:r w:rsidR="00755527" w:rsidRPr="004F5C59">
              <w:rPr>
                <w:color w:val="000000"/>
                <w:lang w:eastAsia="en-US"/>
              </w:rPr>
              <w:t>.</w:t>
            </w:r>
          </w:p>
          <w:p w14:paraId="4E54B240" w14:textId="33987077" w:rsidR="00BB54BE" w:rsidRPr="004F5C59" w:rsidRDefault="00107127" w:rsidP="007C16CF">
            <w:pPr>
              <w:pStyle w:val="Paragraphedeliste"/>
              <w:numPr>
                <w:ilvl w:val="0"/>
                <w:numId w:val="29"/>
              </w:numPr>
              <w:spacing w:line="276" w:lineRule="auto"/>
              <w:contextualSpacing/>
              <w:jc w:val="both"/>
              <w:rPr>
                <w:color w:val="000000"/>
                <w:lang w:eastAsia="en-US"/>
              </w:rPr>
            </w:pPr>
            <w:bookmarkStart w:id="30" w:name="lt_pId050"/>
            <w:r>
              <w:rPr>
                <w:color w:val="000000"/>
                <w:lang w:eastAsia="en-US"/>
              </w:rPr>
              <w:t>1</w:t>
            </w:r>
            <w:r w:rsidR="00755527" w:rsidRPr="004F5C59">
              <w:rPr>
                <w:color w:val="000000"/>
                <w:lang w:eastAsia="en-US"/>
              </w:rPr>
              <w:t xml:space="preserve"> échec</w:t>
            </w:r>
            <w:r w:rsidR="00B814EB" w:rsidRPr="004F5C59">
              <w:rPr>
                <w:color w:val="000000"/>
                <w:lang w:eastAsia="en-US"/>
              </w:rPr>
              <w:t>s</w:t>
            </w:r>
            <w:r w:rsidR="00BB54BE" w:rsidRPr="004F5C59">
              <w:rPr>
                <w:color w:val="000000"/>
                <w:lang w:eastAsia="en-US"/>
              </w:rPr>
              <w:t xml:space="preserve"> sur </w:t>
            </w:r>
            <w:r>
              <w:rPr>
                <w:color w:val="000000"/>
                <w:lang w:eastAsia="en-US"/>
              </w:rPr>
              <w:t>67</w:t>
            </w:r>
            <w:r w:rsidR="008F7D36" w:rsidRPr="004F5C59">
              <w:rPr>
                <w:color w:val="000000"/>
                <w:lang w:eastAsia="en-US"/>
              </w:rPr>
              <w:t xml:space="preserve"> </w:t>
            </w:r>
            <w:r>
              <w:rPr>
                <w:color w:val="000000"/>
                <w:lang w:eastAsia="en-US"/>
              </w:rPr>
              <w:t>394</w:t>
            </w:r>
            <w:r w:rsidR="00B814EB" w:rsidRPr="004F5C59">
              <w:rPr>
                <w:color w:val="000000"/>
                <w:lang w:eastAsia="en-US"/>
              </w:rPr>
              <w:t xml:space="preserve"> </w:t>
            </w:r>
            <w:r w:rsidR="00BB54BE" w:rsidRPr="004F5C59">
              <w:rPr>
                <w:color w:val="000000"/>
                <w:lang w:eastAsia="en-US"/>
              </w:rPr>
              <w:t xml:space="preserve">essais pour les titres de participation, ce qui correspond </w:t>
            </w:r>
            <w:r w:rsidR="00F40A52" w:rsidRPr="004F5C59">
              <w:rPr>
                <w:color w:val="000000"/>
                <w:lang w:eastAsia="en-US"/>
              </w:rPr>
              <w:t xml:space="preserve">à </w:t>
            </w:r>
            <w:r w:rsidR="00BB54BE" w:rsidRPr="004F5C59">
              <w:rPr>
                <w:color w:val="000000"/>
                <w:lang w:eastAsia="en-US"/>
              </w:rPr>
              <w:t>un tau</w:t>
            </w:r>
            <w:r w:rsidR="008F7D36" w:rsidRPr="004F5C59">
              <w:rPr>
                <w:color w:val="000000"/>
                <w:lang w:eastAsia="en-US"/>
              </w:rPr>
              <w:t>x de couverture atteint de 100.00</w:t>
            </w:r>
            <w:r w:rsidR="0045460B" w:rsidRPr="004F5C59">
              <w:rPr>
                <w:color w:val="000000"/>
                <w:lang w:eastAsia="en-US"/>
              </w:rPr>
              <w:t xml:space="preserve"> %</w:t>
            </w:r>
            <w:bookmarkEnd w:id="30"/>
            <w:r w:rsidR="00755527" w:rsidRPr="004F5C59">
              <w:rPr>
                <w:color w:val="000000"/>
                <w:lang w:eastAsia="en-US"/>
              </w:rPr>
              <w:t>.</w:t>
            </w:r>
          </w:p>
          <w:p w14:paraId="53CFA7AB" w14:textId="67107F3B" w:rsidR="007C16CF" w:rsidRPr="001C0132" w:rsidRDefault="007C16CF" w:rsidP="007C16CF">
            <w:pPr>
              <w:pStyle w:val="Paragraphedeliste"/>
              <w:spacing w:line="276" w:lineRule="auto"/>
              <w:ind w:left="360"/>
              <w:contextualSpacing/>
              <w:jc w:val="both"/>
              <w:rPr>
                <w:color w:val="000000"/>
                <w:lang w:eastAsia="en-US"/>
              </w:rPr>
            </w:pPr>
          </w:p>
        </w:tc>
      </w:tr>
      <w:tr w:rsidR="00BB54BE" w:rsidRPr="007055E7" w14:paraId="23DC2511" w14:textId="77777777" w:rsidTr="006B76A4">
        <w:trPr>
          <w:trHeight w:val="709"/>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31AC72D"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6</w:t>
            </w:r>
          </w:p>
        </w:tc>
        <w:tc>
          <w:tcPr>
            <w:tcW w:w="7767" w:type="dxa"/>
            <w:tcBorders>
              <w:top w:val="single" w:sz="4" w:space="0" w:color="auto"/>
              <w:left w:val="single" w:sz="4" w:space="0" w:color="auto"/>
              <w:bottom w:val="single" w:sz="4" w:space="0" w:color="auto"/>
              <w:right w:val="single" w:sz="4" w:space="0" w:color="auto"/>
            </w:tcBorders>
            <w:vAlign w:val="center"/>
          </w:tcPr>
          <w:p w14:paraId="1557F386" w14:textId="77777777" w:rsidR="00BB54BE" w:rsidRPr="001C0132" w:rsidRDefault="00BB54BE" w:rsidP="006B76A4">
            <w:pPr>
              <w:spacing w:line="240" w:lineRule="auto"/>
              <w:rPr>
                <w:rFonts w:ascii="Calibri" w:eastAsia="Times New Roman" w:hAnsi="Calibri" w:cs="Times New Roman"/>
                <w:color w:val="000000"/>
                <w:lang w:val="fr-CA"/>
              </w:rPr>
            </w:pPr>
          </w:p>
          <w:p w14:paraId="6A261DEA" w14:textId="77777777"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6.1. </w:t>
            </w:r>
            <w:bookmarkStart w:id="31" w:name="lt_pId053"/>
            <w:r w:rsidRPr="001C0132">
              <w:rPr>
                <w:rFonts w:ascii="Calibri" w:eastAsia="Times New Roman" w:hAnsi="Calibri" w:cs="Times New Roman"/>
                <w:b/>
                <w:i/>
                <w:color w:val="000000"/>
                <w:lang w:val="fr-CA"/>
              </w:rPr>
              <w:t>Marge initiale totale requise répartie par compte maison, brut client, net client et total</w:t>
            </w:r>
            <w:bookmarkEnd w:id="31"/>
            <w:r w:rsidRPr="001C0132">
              <w:rPr>
                <w:rFonts w:ascii="Calibri" w:eastAsia="Times New Roman" w:hAnsi="Calibri" w:cs="Times New Roman"/>
                <w:b/>
                <w:i/>
                <w:color w:val="000000"/>
                <w:lang w:val="fr-CA"/>
              </w:rPr>
              <w:t xml:space="preserve"> </w:t>
            </w:r>
          </w:p>
          <w:p w14:paraId="535689BA" w14:textId="77777777" w:rsidR="00BB54BE" w:rsidRPr="001C0132" w:rsidRDefault="00BB54BE" w:rsidP="006B76A4">
            <w:pPr>
              <w:spacing w:line="240" w:lineRule="auto"/>
              <w:rPr>
                <w:rFonts w:ascii="Calibri" w:eastAsia="Times New Roman" w:hAnsi="Calibri" w:cs="Times New Roman"/>
                <w:color w:val="000000"/>
                <w:lang w:val="fr-CA"/>
              </w:rPr>
            </w:pPr>
          </w:p>
          <w:p w14:paraId="7B19E472" w14:textId="1AAE199A" w:rsidR="00A45F4C" w:rsidRDefault="00A45F4C" w:rsidP="006B76A4">
            <w:pPr>
              <w:spacing w:line="240" w:lineRule="auto"/>
              <w:rPr>
                <w:rFonts w:ascii="Calibri" w:eastAsia="Times New Roman" w:hAnsi="Calibri" w:cs="Times New Roman"/>
                <w:color w:val="000000"/>
                <w:lang w:val="fr-CA"/>
              </w:rPr>
            </w:pPr>
            <w:bookmarkStart w:id="32" w:name="lt_pId054"/>
            <w:r>
              <w:rPr>
                <w:rFonts w:ascii="Calibri" w:eastAsia="Times New Roman" w:hAnsi="Calibri" w:cs="Times New Roman"/>
                <w:color w:val="000000"/>
                <w:lang w:val="fr-CA"/>
              </w:rPr>
              <w:t>La m</w:t>
            </w:r>
            <w:r w:rsidRPr="00A45F4C">
              <w:rPr>
                <w:rFonts w:ascii="Calibri" w:eastAsia="Times New Roman" w:hAnsi="Calibri" w:cs="Times New Roman"/>
                <w:color w:val="000000"/>
                <w:lang w:val="fr-CA"/>
              </w:rPr>
              <w:t xml:space="preserve">arge initiale requise </w:t>
            </w:r>
            <w:r>
              <w:rPr>
                <w:rFonts w:ascii="Calibri" w:eastAsia="Times New Roman" w:hAnsi="Calibri" w:cs="Times New Roman"/>
                <w:color w:val="000000"/>
                <w:lang w:val="fr-CA"/>
              </w:rPr>
              <w:t>incluse exigences relatives aux fonds de marge, l’a</w:t>
            </w:r>
            <w:r w:rsidRPr="001C0132">
              <w:rPr>
                <w:rFonts w:ascii="Calibri" w:eastAsia="Times New Roman" w:hAnsi="Calibri" w:cs="Times New Roman"/>
                <w:color w:val="000000"/>
                <w:lang w:val="fr-CA"/>
              </w:rPr>
              <w:t>ppel de marge de variation intra</w:t>
            </w:r>
            <w:r>
              <w:rPr>
                <w:rFonts w:ascii="Calibri" w:eastAsia="Times New Roman" w:hAnsi="Calibri" w:cs="Times New Roman"/>
                <w:color w:val="000000"/>
                <w:lang w:val="fr-CA"/>
              </w:rPr>
              <w:t>-</w:t>
            </w:r>
            <w:r w:rsidRPr="001C0132">
              <w:rPr>
                <w:rFonts w:ascii="Calibri" w:eastAsia="Times New Roman" w:hAnsi="Calibri" w:cs="Times New Roman"/>
                <w:color w:val="000000"/>
                <w:lang w:val="fr-CA"/>
              </w:rPr>
              <w:t xml:space="preserve">journalière, </w:t>
            </w:r>
            <w:r>
              <w:rPr>
                <w:rFonts w:ascii="Calibri" w:eastAsia="Times New Roman" w:hAnsi="Calibri" w:cs="Times New Roman"/>
                <w:color w:val="000000"/>
                <w:lang w:val="fr-CA"/>
              </w:rPr>
              <w:t>l’</w:t>
            </w:r>
            <w:r w:rsidRPr="001C0132">
              <w:rPr>
                <w:rFonts w:ascii="Calibri" w:eastAsia="Times New Roman" w:hAnsi="Calibri" w:cs="Times New Roman"/>
                <w:color w:val="000000"/>
                <w:lang w:val="fr-CA"/>
              </w:rPr>
              <w:t xml:space="preserve">appel de marge de règlement asymétrique, </w:t>
            </w:r>
            <w:r w:rsidR="00634B40" w:rsidRPr="00634B40">
              <w:rPr>
                <w:lang w:val="fr-CA"/>
              </w:rPr>
              <w:t>le risque à découvert des membres compensateurs à responsabilité limitée</w:t>
            </w:r>
            <w:r w:rsidR="00634B40">
              <w:rPr>
                <w:rFonts w:ascii="Calibri" w:eastAsia="Times New Roman" w:hAnsi="Calibri" w:cs="Times New Roman"/>
                <w:color w:val="000000"/>
                <w:lang w:val="fr-CA"/>
              </w:rPr>
              <w:t xml:space="preserve">, </w:t>
            </w:r>
            <w:r w:rsidR="00634B40" w:rsidRPr="00634B40">
              <w:rPr>
                <w:lang w:val="fr-CA"/>
              </w:rPr>
              <w:t>la marge supplémentaire pour le risque de livraison lié à la marge de variation</w:t>
            </w:r>
            <w:r w:rsidR="00634B40">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les </w:t>
            </w:r>
            <w:r w:rsidRPr="001C0132">
              <w:rPr>
                <w:rFonts w:ascii="Calibri" w:eastAsia="Times New Roman" w:hAnsi="Calibri" w:cs="Times New Roman"/>
                <w:color w:val="000000"/>
                <w:lang w:val="fr-CA"/>
              </w:rPr>
              <w:t xml:space="preserve">appels de suivi quotidien des marges de capitalisation, </w:t>
            </w:r>
            <w:r>
              <w:rPr>
                <w:rFonts w:ascii="Calibri" w:eastAsia="Times New Roman" w:hAnsi="Calibri" w:cs="Times New Roman"/>
                <w:color w:val="000000"/>
                <w:lang w:val="fr-CA"/>
              </w:rPr>
              <w:t>les primes et éléments non réglés d’instruments hors cote.</w:t>
            </w:r>
          </w:p>
          <w:p w14:paraId="3924F936" w14:textId="77777777" w:rsidR="00634B40" w:rsidRDefault="00634B40" w:rsidP="006B76A4">
            <w:pPr>
              <w:spacing w:line="240" w:lineRule="auto"/>
              <w:rPr>
                <w:rFonts w:ascii="Calibri" w:eastAsia="Times New Roman" w:hAnsi="Calibri" w:cs="Times New Roman"/>
                <w:color w:val="000000"/>
                <w:lang w:val="fr-CA"/>
              </w:rPr>
            </w:pPr>
          </w:p>
          <w:p w14:paraId="39EE77BE" w14:textId="0C2D2351" w:rsidR="00BB54BE" w:rsidRPr="001C0132" w:rsidRDefault="00A45F4C" w:rsidP="006B76A4">
            <w:pPr>
              <w:spacing w:line="240" w:lineRule="auto"/>
              <w:rPr>
                <w:rFonts w:ascii="Calibri" w:eastAsia="Times New Roman" w:hAnsi="Calibri" w:cs="Times New Roman"/>
                <w:color w:val="000000"/>
                <w:lang w:val="fr-CA"/>
              </w:rPr>
            </w:pPr>
            <w:r>
              <w:rPr>
                <w:rFonts w:ascii="Calibri" w:eastAsia="Times New Roman" w:hAnsi="Calibri" w:cs="Times New Roman"/>
                <w:color w:val="000000"/>
                <w:lang w:val="fr-CA"/>
              </w:rPr>
              <w:t>L’a</w:t>
            </w:r>
            <w:r w:rsidR="00BB54BE" w:rsidRPr="001C0132">
              <w:rPr>
                <w:rFonts w:ascii="Calibri" w:eastAsia="Times New Roman" w:hAnsi="Calibri" w:cs="Times New Roman"/>
                <w:color w:val="000000"/>
                <w:lang w:val="fr-CA"/>
              </w:rPr>
              <w:t>ppel de marge de variation intra</w:t>
            </w:r>
            <w:r w:rsidR="00EE23DB">
              <w:rPr>
                <w:rFonts w:ascii="Calibri" w:eastAsia="Times New Roman" w:hAnsi="Calibri" w:cs="Times New Roman"/>
                <w:color w:val="000000"/>
                <w:lang w:val="fr-CA"/>
              </w:rPr>
              <w:t>-</w:t>
            </w:r>
            <w:r w:rsidR="00BB54BE" w:rsidRPr="001C0132">
              <w:rPr>
                <w:rFonts w:ascii="Calibri" w:eastAsia="Times New Roman" w:hAnsi="Calibri" w:cs="Times New Roman"/>
                <w:color w:val="000000"/>
                <w:lang w:val="fr-CA"/>
              </w:rPr>
              <w:t xml:space="preserve">journalière, </w:t>
            </w:r>
            <w:r>
              <w:rPr>
                <w:rFonts w:ascii="Calibri" w:eastAsia="Times New Roman" w:hAnsi="Calibri" w:cs="Times New Roman"/>
                <w:color w:val="000000"/>
                <w:lang w:val="fr-CA"/>
              </w:rPr>
              <w:t>l’</w:t>
            </w:r>
            <w:r w:rsidR="00BB54BE" w:rsidRPr="001C0132">
              <w:rPr>
                <w:rFonts w:ascii="Calibri" w:eastAsia="Times New Roman" w:hAnsi="Calibri" w:cs="Times New Roman"/>
                <w:color w:val="000000"/>
                <w:lang w:val="fr-CA"/>
              </w:rPr>
              <w:t xml:space="preserve">appel de marge de règlement asymétrique, </w:t>
            </w:r>
            <w:r>
              <w:rPr>
                <w:rFonts w:ascii="Calibri" w:eastAsia="Times New Roman" w:hAnsi="Calibri" w:cs="Times New Roman"/>
                <w:color w:val="000000"/>
                <w:lang w:val="fr-CA"/>
              </w:rPr>
              <w:t xml:space="preserve">les </w:t>
            </w:r>
            <w:r w:rsidR="00BB54BE" w:rsidRPr="001C0132">
              <w:rPr>
                <w:rFonts w:ascii="Calibri" w:eastAsia="Times New Roman" w:hAnsi="Calibri" w:cs="Times New Roman"/>
                <w:color w:val="000000"/>
                <w:lang w:val="fr-CA"/>
              </w:rPr>
              <w:t xml:space="preserve">appels de suivi quotidien des marges de capitalisation, </w:t>
            </w:r>
            <w:r w:rsidR="00BB54BE">
              <w:rPr>
                <w:rFonts w:ascii="Calibri" w:eastAsia="Times New Roman" w:hAnsi="Calibri" w:cs="Times New Roman"/>
                <w:color w:val="000000"/>
                <w:lang w:val="fr-CA"/>
              </w:rPr>
              <w:t>les primes et</w:t>
            </w:r>
            <w:r>
              <w:rPr>
                <w:rFonts w:ascii="Calibri" w:eastAsia="Times New Roman" w:hAnsi="Calibri" w:cs="Times New Roman"/>
                <w:color w:val="000000"/>
                <w:lang w:val="fr-CA"/>
              </w:rPr>
              <w:t xml:space="preserve"> les</w:t>
            </w:r>
            <w:r w:rsidR="00BB54BE">
              <w:rPr>
                <w:rFonts w:ascii="Calibri" w:eastAsia="Times New Roman" w:hAnsi="Calibri" w:cs="Times New Roman"/>
                <w:color w:val="000000"/>
                <w:lang w:val="fr-CA"/>
              </w:rPr>
              <w:t xml:space="preserve"> éléments non réglés d’instruments hors cote</w:t>
            </w:r>
            <w:r w:rsidR="00BB54BE" w:rsidRPr="001C0132">
              <w:rPr>
                <w:rFonts w:ascii="Calibri" w:eastAsia="Times New Roman" w:hAnsi="Calibri" w:cs="Times New Roman"/>
                <w:color w:val="000000"/>
                <w:lang w:val="fr-CA"/>
              </w:rPr>
              <w:t xml:space="preserve"> </w:t>
            </w:r>
            <w:r w:rsidR="00BB54BE">
              <w:rPr>
                <w:rFonts w:ascii="Calibri" w:eastAsia="Times New Roman" w:hAnsi="Calibri" w:cs="Times New Roman"/>
                <w:color w:val="000000"/>
                <w:lang w:val="fr-CA"/>
              </w:rPr>
              <w:t>sont pris en compte dans les exigences relatives aux comptes maison</w:t>
            </w:r>
            <w:r w:rsidR="00BB54BE" w:rsidRPr="001C0132">
              <w:rPr>
                <w:rFonts w:ascii="Calibri" w:eastAsia="Times New Roman" w:hAnsi="Calibri" w:cs="Times New Roman"/>
                <w:color w:val="000000"/>
                <w:lang w:val="fr-CA"/>
              </w:rPr>
              <w:t>.</w:t>
            </w:r>
            <w:bookmarkEnd w:id="32"/>
            <w:r w:rsidR="00BB54BE" w:rsidRPr="001C0132">
              <w:rPr>
                <w:rFonts w:ascii="Calibri" w:eastAsia="Times New Roman" w:hAnsi="Calibri" w:cs="Times New Roman"/>
                <w:color w:val="000000"/>
                <w:lang w:val="fr-CA"/>
              </w:rPr>
              <w:br/>
            </w:r>
          </w:p>
          <w:p w14:paraId="0C747F54" w14:textId="77777777" w:rsidR="00BB54BE" w:rsidRPr="001C0132" w:rsidRDefault="00BB54BE" w:rsidP="006B76A4">
            <w:pPr>
              <w:spacing w:line="240" w:lineRule="auto"/>
              <w:jc w:val="both"/>
              <w:rPr>
                <w:rFonts w:ascii="Calibri" w:eastAsia="Times New Roman" w:hAnsi="Calibri" w:cs="Times New Roman"/>
                <w:b/>
                <w:i/>
                <w:color w:val="000000"/>
                <w:lang w:val="fr-CA"/>
              </w:rPr>
            </w:pPr>
          </w:p>
          <w:p w14:paraId="6C45820B" w14:textId="77777777"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6.2. </w:t>
            </w:r>
            <w:bookmarkStart w:id="33" w:name="lt_pId056"/>
            <w:r>
              <w:rPr>
                <w:rFonts w:ascii="Calibri" w:eastAsia="Times New Roman" w:hAnsi="Calibri" w:cs="Times New Roman"/>
                <w:b/>
                <w:i/>
                <w:color w:val="000000"/>
                <w:lang w:val="fr-CA"/>
              </w:rPr>
              <w:t>Pour chaque service de compensation</w:t>
            </w:r>
            <w:r w:rsidRPr="001C0132">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la marge initiale totale détenue</w:t>
            </w:r>
            <w:r w:rsidRPr="001C0132">
              <w:rPr>
                <w:rFonts w:ascii="Calibri" w:eastAsia="Times New Roman" w:hAnsi="Calibri" w:cs="Times New Roman"/>
                <w:b/>
                <w:i/>
                <w:color w:val="000000"/>
                <w:lang w:val="fr-CA"/>
              </w:rPr>
              <w:t xml:space="preserve">, </w:t>
            </w:r>
            <w:bookmarkEnd w:id="33"/>
            <w:r>
              <w:rPr>
                <w:rFonts w:ascii="Calibri" w:eastAsia="Times New Roman" w:hAnsi="Calibri" w:cs="Times New Roman"/>
                <w:b/>
                <w:i/>
                <w:color w:val="000000"/>
                <w:lang w:val="fr-CA"/>
              </w:rPr>
              <w:t>répartie par compte maison et client</w:t>
            </w:r>
          </w:p>
          <w:p w14:paraId="419AD99B"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04338AD3" w14:textId="5FD03E75" w:rsidR="00B15A64" w:rsidRDefault="00BB54BE" w:rsidP="006B76A4">
            <w:pPr>
              <w:spacing w:line="240" w:lineRule="auto"/>
              <w:jc w:val="both"/>
              <w:rPr>
                <w:rFonts w:ascii="Calibri" w:eastAsia="Times New Roman" w:hAnsi="Calibri" w:cs="Times New Roman"/>
                <w:color w:val="000000"/>
                <w:lang w:val="fr-CA"/>
              </w:rPr>
            </w:pPr>
            <w:bookmarkStart w:id="34" w:name="lt_pId057"/>
            <w:r>
              <w:rPr>
                <w:rFonts w:ascii="Calibri" w:eastAsia="Times New Roman" w:hAnsi="Calibri" w:cs="Times New Roman"/>
                <w:color w:val="000000"/>
                <w:lang w:val="fr-CA"/>
              </w:rPr>
              <w:t xml:space="preserve">Les renseignements concernant les garanties mises en gage ne sont pas </w:t>
            </w:r>
            <w:r w:rsidR="00C92937">
              <w:rPr>
                <w:rFonts w:ascii="Calibri" w:eastAsia="Times New Roman" w:hAnsi="Calibri" w:cs="Times New Roman"/>
                <w:color w:val="000000"/>
                <w:lang w:val="fr-CA"/>
              </w:rPr>
              <w:t>offerts</w:t>
            </w:r>
            <w:r>
              <w:rPr>
                <w:rFonts w:ascii="Calibri" w:eastAsia="Times New Roman" w:hAnsi="Calibri" w:cs="Times New Roman"/>
                <w:color w:val="000000"/>
                <w:lang w:val="fr-CA"/>
              </w:rPr>
              <w:t xml:space="preserve"> </w:t>
            </w:r>
            <w:r w:rsidR="007E59AA">
              <w:rPr>
                <w:rFonts w:ascii="Calibri" w:eastAsia="Times New Roman" w:hAnsi="Calibri" w:cs="Times New Roman"/>
                <w:color w:val="000000"/>
                <w:lang w:val="fr-CA"/>
              </w:rPr>
              <w:t>en ce qui concerne le</w:t>
            </w:r>
            <w:r>
              <w:rPr>
                <w:rFonts w:ascii="Calibri" w:eastAsia="Times New Roman" w:hAnsi="Calibri" w:cs="Times New Roman"/>
                <w:color w:val="000000"/>
                <w:lang w:val="fr-CA"/>
              </w:rPr>
              <w:t xml:space="preserve"> type de compte</w:t>
            </w:r>
            <w:r w:rsidRPr="001C0132">
              <w:rPr>
                <w:rFonts w:ascii="Calibri" w:eastAsia="Times New Roman" w:hAnsi="Calibri" w:cs="Times New Roman"/>
                <w:color w:val="000000"/>
                <w:lang w:val="fr-CA"/>
              </w:rPr>
              <w:t>.</w:t>
            </w:r>
            <w:bookmarkEnd w:id="34"/>
          </w:p>
          <w:p w14:paraId="6C9AE1A7" w14:textId="486163B8"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6.4. </w:t>
            </w:r>
            <w:bookmarkStart w:id="35" w:name="lt_pId059"/>
            <w:r w:rsidRPr="001C0132">
              <w:rPr>
                <w:rFonts w:ascii="Calibri" w:eastAsia="Times New Roman" w:hAnsi="Calibri" w:cs="Times New Roman"/>
                <w:b/>
                <w:i/>
                <w:color w:val="000000"/>
                <w:lang w:val="fr-CA"/>
              </w:rPr>
              <w:t xml:space="preserve">Fréquence </w:t>
            </w:r>
            <w:bookmarkEnd w:id="35"/>
            <w:r>
              <w:rPr>
                <w:rFonts w:ascii="Calibri" w:eastAsia="Times New Roman" w:hAnsi="Calibri" w:cs="Times New Roman"/>
                <w:b/>
                <w:i/>
                <w:color w:val="000000"/>
                <w:lang w:val="fr-CA"/>
              </w:rPr>
              <w:t>d’examen des paramètres</w:t>
            </w:r>
          </w:p>
          <w:p w14:paraId="0CCFB56A"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176F4CA5" w14:textId="47C21C92" w:rsidR="007C16CF" w:rsidRPr="001C0132" w:rsidRDefault="00BB54BE" w:rsidP="00A02B21">
            <w:pPr>
              <w:spacing w:line="240" w:lineRule="auto"/>
              <w:jc w:val="both"/>
              <w:rPr>
                <w:rFonts w:ascii="Calibri" w:eastAsia="Times New Roman" w:hAnsi="Calibri" w:cs="Times New Roman"/>
                <w:color w:val="000000"/>
                <w:lang w:val="fr-CA"/>
              </w:rPr>
            </w:pPr>
            <w:bookmarkStart w:id="36" w:name="lt_pId060"/>
            <w:r>
              <w:rPr>
                <w:rFonts w:ascii="Calibri" w:eastAsia="Times New Roman" w:hAnsi="Calibri" w:cs="Times New Roman"/>
                <w:color w:val="000000"/>
                <w:lang w:val="fr-CA"/>
              </w:rPr>
              <w:t>Les intervalles de marge</w:t>
            </w:r>
            <w:r w:rsidR="00A02B21">
              <w:rPr>
                <w:rFonts w:ascii="Calibri" w:eastAsia="Times New Roman" w:hAnsi="Calibri" w:cs="Times New Roman"/>
                <w:color w:val="000000"/>
                <w:lang w:val="fr-CA"/>
              </w:rPr>
              <w:t>, les</w:t>
            </w:r>
            <w:r w:rsidR="00A02B21" w:rsidRPr="00A02B21">
              <w:rPr>
                <w:lang w:val="fr-CA"/>
              </w:rPr>
              <w:t xml:space="preserve"> </w:t>
            </w:r>
            <w:r w:rsidR="00A02B21" w:rsidRPr="00A02B21">
              <w:rPr>
                <w:rFonts w:ascii="Calibri" w:eastAsia="Times New Roman" w:hAnsi="Calibri" w:cs="Times New Roman"/>
                <w:color w:val="000000"/>
                <w:lang w:val="fr-CA"/>
              </w:rPr>
              <w:t>écarts intramarchandises et intermarchandises</w:t>
            </w:r>
            <w:r w:rsidR="00A02B21">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 sont examinés sur une base quotidienne</w:t>
            </w:r>
            <w:r w:rsidRPr="001C0132">
              <w:rPr>
                <w:rFonts w:ascii="Calibri" w:eastAsia="Times New Roman" w:hAnsi="Calibri" w:cs="Times New Roman"/>
                <w:color w:val="000000"/>
                <w:lang w:val="fr-CA"/>
              </w:rPr>
              <w:t xml:space="preserve"> </w:t>
            </w:r>
            <w:bookmarkEnd w:id="36"/>
            <w:r w:rsidR="00A02B21">
              <w:rPr>
                <w:rFonts w:ascii="Calibri" w:eastAsia="Times New Roman" w:hAnsi="Calibri" w:cs="Times New Roman"/>
                <w:color w:val="000000"/>
                <w:lang w:val="fr-CA"/>
              </w:rPr>
              <w:t>.</w:t>
            </w:r>
          </w:p>
        </w:tc>
      </w:tr>
      <w:tr w:rsidR="00BB54BE" w:rsidRPr="007055E7" w14:paraId="0E9AFD70" w14:textId="77777777" w:rsidTr="006B76A4">
        <w:trPr>
          <w:trHeight w:val="210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F86CFD2"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7</w:t>
            </w:r>
          </w:p>
        </w:tc>
        <w:tc>
          <w:tcPr>
            <w:tcW w:w="7767" w:type="dxa"/>
            <w:tcBorders>
              <w:top w:val="single" w:sz="4" w:space="0" w:color="auto"/>
              <w:left w:val="single" w:sz="4" w:space="0" w:color="auto"/>
              <w:bottom w:val="single" w:sz="4" w:space="0" w:color="auto"/>
              <w:right w:val="single" w:sz="4" w:space="0" w:color="auto"/>
            </w:tcBorders>
            <w:vAlign w:val="center"/>
          </w:tcPr>
          <w:p w14:paraId="01DF928B" w14:textId="77777777" w:rsidR="00BB54BE" w:rsidRPr="001C0132" w:rsidRDefault="00BB54BE" w:rsidP="006B76A4">
            <w:pPr>
              <w:spacing w:line="240" w:lineRule="auto"/>
              <w:rPr>
                <w:rFonts w:ascii="Calibri" w:eastAsia="Times New Roman" w:hAnsi="Calibri" w:cs="Times New Roman"/>
                <w:color w:val="000000"/>
                <w:lang w:val="fr-CA"/>
              </w:rPr>
            </w:pPr>
          </w:p>
          <w:p w14:paraId="79059D82" w14:textId="77777777"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7.1. </w:t>
            </w:r>
            <w:bookmarkStart w:id="37" w:name="lt_pId063"/>
            <w:r>
              <w:rPr>
                <w:rFonts w:ascii="Calibri" w:eastAsia="Times New Roman" w:hAnsi="Calibri" w:cs="Times New Roman"/>
                <w:b/>
                <w:i/>
                <w:color w:val="000000"/>
                <w:lang w:val="fr-CA"/>
              </w:rPr>
              <w:t xml:space="preserve">Taille et </w:t>
            </w:r>
            <w:r w:rsidRPr="001C0132">
              <w:rPr>
                <w:rFonts w:ascii="Calibri" w:eastAsia="Times New Roman" w:hAnsi="Calibri" w:cs="Times New Roman"/>
                <w:b/>
                <w:i/>
                <w:color w:val="000000"/>
                <w:lang w:val="fr-CA"/>
              </w:rPr>
              <w:t xml:space="preserve">composition </w:t>
            </w:r>
            <w:r>
              <w:rPr>
                <w:rFonts w:ascii="Calibri" w:eastAsia="Times New Roman" w:hAnsi="Calibri" w:cs="Times New Roman"/>
                <w:b/>
                <w:i/>
                <w:color w:val="000000"/>
                <w:lang w:val="fr-CA"/>
              </w:rPr>
              <w:t>des ressources admissibles liquides pour chaque service de compensation</w:t>
            </w:r>
            <w:bookmarkEnd w:id="37"/>
          </w:p>
          <w:p w14:paraId="67787B37" w14:textId="77777777" w:rsidR="00BB54BE" w:rsidRPr="001C0132" w:rsidRDefault="00BB54BE" w:rsidP="006B76A4">
            <w:pPr>
              <w:spacing w:line="240" w:lineRule="auto"/>
              <w:ind w:left="391"/>
              <w:jc w:val="both"/>
              <w:rPr>
                <w:rFonts w:ascii="Calibri" w:eastAsia="Times New Roman" w:hAnsi="Calibri" w:cs="Times New Roman"/>
                <w:color w:val="000000"/>
                <w:lang w:val="fr-CA"/>
              </w:rPr>
            </w:pPr>
          </w:p>
          <w:p w14:paraId="141BC879" w14:textId="60C7AC27" w:rsidR="00BB54BE" w:rsidRPr="001C0132" w:rsidRDefault="00BB54BE" w:rsidP="00BB54BE">
            <w:pPr>
              <w:pStyle w:val="Paragraphedeliste"/>
              <w:numPr>
                <w:ilvl w:val="0"/>
                <w:numId w:val="29"/>
              </w:numPr>
              <w:spacing w:line="276" w:lineRule="auto"/>
              <w:contextualSpacing/>
              <w:jc w:val="both"/>
              <w:rPr>
                <w:color w:val="000000"/>
                <w:lang w:eastAsia="en-US"/>
              </w:rPr>
            </w:pPr>
            <w:bookmarkStart w:id="38" w:name="lt_pId064"/>
            <w:r>
              <w:rPr>
                <w:color w:val="000000"/>
                <w:lang w:eastAsia="en-US"/>
              </w:rPr>
              <w:t xml:space="preserve">Les scénarios de marchés sous contrainte ont été appliqués à la </w:t>
            </w:r>
            <w:r w:rsidR="00DD546E">
              <w:rPr>
                <w:color w:val="000000"/>
                <w:lang w:eastAsia="en-US"/>
              </w:rPr>
              <w:t xml:space="preserve">valeur </w:t>
            </w:r>
            <w:r>
              <w:rPr>
                <w:color w:val="000000"/>
                <w:lang w:eastAsia="en-US"/>
              </w:rPr>
              <w:t>au marché</w:t>
            </w:r>
            <w:r w:rsidRPr="001C0132">
              <w:rPr>
                <w:color w:val="000000"/>
                <w:lang w:eastAsia="en-US"/>
              </w:rPr>
              <w:t xml:space="preserve"> </w:t>
            </w:r>
            <w:r>
              <w:rPr>
                <w:color w:val="000000"/>
                <w:lang w:eastAsia="en-US"/>
              </w:rPr>
              <w:t>de la ressource admissible liquide</w:t>
            </w:r>
            <w:r w:rsidRPr="001C0132">
              <w:rPr>
                <w:color w:val="000000"/>
                <w:lang w:eastAsia="en-US"/>
              </w:rPr>
              <w:t>.</w:t>
            </w:r>
            <w:bookmarkStart w:id="39" w:name="lt_pId065"/>
            <w:bookmarkEnd w:id="38"/>
            <w:r>
              <w:rPr>
                <w:color w:val="000000"/>
                <w:lang w:eastAsia="en-US"/>
              </w:rPr>
              <w:t xml:space="preserve"> Les décotes requises conformément aux ententes de financement préétablies</w:t>
            </w:r>
            <w:r w:rsidRPr="001C0132">
              <w:rPr>
                <w:color w:val="000000"/>
                <w:lang w:eastAsia="en-US"/>
              </w:rPr>
              <w:t xml:space="preserve"> </w:t>
            </w:r>
            <w:r>
              <w:rPr>
                <w:color w:val="000000"/>
                <w:lang w:eastAsia="en-US"/>
              </w:rPr>
              <w:t>ont également été appliquées, le cas échéant</w:t>
            </w:r>
            <w:r w:rsidRPr="001C0132">
              <w:rPr>
                <w:color w:val="000000"/>
                <w:lang w:eastAsia="en-US"/>
              </w:rPr>
              <w:t>.</w:t>
            </w:r>
            <w:bookmarkEnd w:id="39"/>
          </w:p>
          <w:p w14:paraId="03DC28C8" w14:textId="77777777" w:rsidR="00F40A52" w:rsidRPr="00C92937" w:rsidRDefault="00BB54BE" w:rsidP="00055E80">
            <w:pPr>
              <w:pStyle w:val="Paragraphedeliste"/>
              <w:numPr>
                <w:ilvl w:val="0"/>
                <w:numId w:val="29"/>
              </w:numPr>
              <w:spacing w:line="276" w:lineRule="auto"/>
              <w:contextualSpacing/>
              <w:jc w:val="both"/>
              <w:rPr>
                <w:b/>
                <w:i/>
                <w:color w:val="000000"/>
                <w:lang w:eastAsia="en-US"/>
              </w:rPr>
            </w:pPr>
            <w:bookmarkStart w:id="40" w:name="lt_pId066"/>
            <w:r>
              <w:rPr>
                <w:color w:val="000000"/>
                <w:lang w:eastAsia="en-US"/>
              </w:rPr>
              <w:t xml:space="preserve">Le point </w:t>
            </w:r>
            <w:r w:rsidRPr="001C0132">
              <w:rPr>
                <w:color w:val="000000"/>
                <w:lang w:eastAsia="en-US"/>
              </w:rPr>
              <w:t xml:space="preserve">7.1.9 </w:t>
            </w:r>
            <w:r>
              <w:rPr>
                <w:color w:val="000000"/>
                <w:lang w:eastAsia="en-US"/>
              </w:rPr>
              <w:t xml:space="preserve">prend en compte les bons du </w:t>
            </w:r>
            <w:r w:rsidR="00DD546E">
              <w:rPr>
                <w:color w:val="000000"/>
                <w:lang w:eastAsia="en-US"/>
              </w:rPr>
              <w:t>Trésor</w:t>
            </w:r>
            <w:r w:rsidRPr="001C0132">
              <w:rPr>
                <w:color w:val="000000"/>
                <w:lang w:eastAsia="en-US"/>
              </w:rPr>
              <w:t>.</w:t>
            </w:r>
            <w:bookmarkEnd w:id="40"/>
            <w:r w:rsidRPr="001C0132">
              <w:rPr>
                <w:color w:val="000000"/>
                <w:lang w:eastAsia="en-US"/>
              </w:rPr>
              <w:t xml:space="preserve"> </w:t>
            </w:r>
            <w:bookmarkStart w:id="41" w:name="lt_pId067"/>
            <w:r>
              <w:rPr>
                <w:color w:val="000000"/>
                <w:lang w:eastAsia="en-US"/>
              </w:rPr>
              <w:t xml:space="preserve">Les bons du </w:t>
            </w:r>
            <w:r w:rsidR="00DD546E">
              <w:rPr>
                <w:color w:val="000000"/>
                <w:lang w:eastAsia="en-US"/>
              </w:rPr>
              <w:t>Trésor</w:t>
            </w:r>
            <w:r>
              <w:rPr>
                <w:color w:val="000000"/>
                <w:lang w:eastAsia="en-US"/>
              </w:rPr>
              <w:t xml:space="preserve"> peuvent être liquidés le </w:t>
            </w:r>
            <w:r w:rsidR="00DD546E">
              <w:rPr>
                <w:color w:val="000000"/>
                <w:lang w:eastAsia="en-US"/>
              </w:rPr>
              <w:t>jour même</w:t>
            </w:r>
            <w:r>
              <w:rPr>
                <w:color w:val="000000"/>
                <w:lang w:eastAsia="en-US"/>
              </w:rPr>
              <w:t xml:space="preserve"> et sont donc considérés comme du numéraire </w:t>
            </w:r>
            <w:r w:rsidRPr="001C0132">
              <w:rPr>
                <w:color w:val="000000"/>
                <w:lang w:eastAsia="en-US"/>
              </w:rPr>
              <w:t>(</w:t>
            </w:r>
            <w:r>
              <w:rPr>
                <w:color w:val="000000"/>
                <w:lang w:eastAsia="en-US"/>
              </w:rPr>
              <w:t>en fonction de la valeur courante sur le marché</w:t>
            </w:r>
            <w:r w:rsidRPr="001C0132">
              <w:rPr>
                <w:color w:val="000000"/>
                <w:lang w:eastAsia="en-US"/>
              </w:rPr>
              <w:t>).</w:t>
            </w:r>
            <w:bookmarkEnd w:id="41"/>
          </w:p>
          <w:p w14:paraId="08E6751F" w14:textId="2F2E3A10" w:rsidR="00BB54BE" w:rsidRPr="007C16CF" w:rsidRDefault="00BB54BE" w:rsidP="00C92937">
            <w:pPr>
              <w:contextualSpacing/>
              <w:jc w:val="both"/>
              <w:rPr>
                <w:b/>
                <w:i/>
                <w:color w:val="000000"/>
                <w:lang w:val="fr-CA"/>
              </w:rPr>
            </w:pPr>
          </w:p>
          <w:p w14:paraId="0C27CB5B" w14:textId="71D216B9"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7.3.1. </w:t>
            </w:r>
            <w:bookmarkStart w:id="42" w:name="lt_pId069"/>
            <w:r w:rsidR="00533713">
              <w:rPr>
                <w:rFonts w:ascii="Calibri" w:eastAsia="Times New Roman" w:hAnsi="Calibri" w:cs="Times New Roman"/>
                <w:b/>
                <w:i/>
                <w:color w:val="000000"/>
                <w:lang w:val="fr-CA"/>
              </w:rPr>
              <w:t>Estimation de l</w:t>
            </w:r>
            <w:r>
              <w:rPr>
                <w:rFonts w:ascii="Calibri" w:eastAsia="Times New Roman" w:hAnsi="Calibri" w:cs="Times New Roman"/>
                <w:b/>
                <w:i/>
                <w:color w:val="000000"/>
                <w:lang w:val="fr-CA"/>
              </w:rPr>
              <w:t xml:space="preserve">’obligation de </w:t>
            </w:r>
            <w:r w:rsidR="00533713">
              <w:rPr>
                <w:rFonts w:ascii="Calibri" w:eastAsia="Times New Roman" w:hAnsi="Calibri" w:cs="Times New Roman"/>
                <w:b/>
                <w:i/>
                <w:color w:val="000000"/>
                <w:lang w:val="fr-CA"/>
              </w:rPr>
              <w:t xml:space="preserve">paiement le </w:t>
            </w:r>
            <w:r w:rsidR="00DD546E">
              <w:rPr>
                <w:rFonts w:ascii="Calibri" w:eastAsia="Times New Roman" w:hAnsi="Calibri" w:cs="Times New Roman"/>
                <w:b/>
                <w:i/>
                <w:color w:val="000000"/>
                <w:lang w:val="fr-CA"/>
              </w:rPr>
              <w:t>jour même</w:t>
            </w:r>
            <w:r w:rsidR="00533713">
              <w:rPr>
                <w:rFonts w:ascii="Calibri" w:eastAsia="Times New Roman" w:hAnsi="Calibri" w:cs="Times New Roman"/>
                <w:b/>
                <w:i/>
                <w:color w:val="000000"/>
                <w:lang w:val="fr-CA"/>
              </w:rPr>
              <w:t xml:space="preserve"> et, le cas échéant</w:t>
            </w:r>
            <w:r w:rsidR="00DD546E">
              <w:rPr>
                <w:rFonts w:ascii="Calibri" w:eastAsia="Times New Roman" w:hAnsi="Calibri" w:cs="Times New Roman"/>
                <w:b/>
                <w:i/>
                <w:color w:val="000000"/>
                <w:lang w:val="fr-CA"/>
              </w:rPr>
              <w:t xml:space="preserve">, </w:t>
            </w:r>
            <w:r w:rsidR="00533713">
              <w:rPr>
                <w:rFonts w:ascii="Calibri" w:eastAsia="Times New Roman" w:hAnsi="Calibri" w:cs="Times New Roman"/>
                <w:b/>
                <w:i/>
                <w:color w:val="000000"/>
                <w:lang w:val="fr-CA"/>
              </w:rPr>
              <w:t>l’obligation de paiement sur plusieurs jour</w:t>
            </w:r>
            <w:r w:rsidR="00FB733A">
              <w:rPr>
                <w:rFonts w:ascii="Calibri" w:eastAsia="Times New Roman" w:hAnsi="Calibri" w:cs="Times New Roman"/>
                <w:b/>
                <w:i/>
                <w:color w:val="000000"/>
                <w:lang w:val="fr-CA"/>
              </w:rPr>
              <w:t>s totale</w:t>
            </w:r>
            <w:r w:rsidR="00533713">
              <w:rPr>
                <w:rFonts w:ascii="Calibri" w:eastAsia="Times New Roman" w:hAnsi="Calibri" w:cs="Times New Roman"/>
                <w:b/>
                <w:i/>
                <w:color w:val="000000"/>
                <w:lang w:val="fr-CA"/>
              </w:rPr>
              <w:t xml:space="preserve"> </w:t>
            </w:r>
            <w:r w:rsidR="00DA635D">
              <w:rPr>
                <w:rFonts w:ascii="Calibri" w:eastAsia="Times New Roman" w:hAnsi="Calibri" w:cs="Times New Roman"/>
                <w:b/>
                <w:i/>
                <w:color w:val="000000"/>
                <w:lang w:val="fr-CA"/>
              </w:rPr>
              <w:t xml:space="preserve">la plus importante </w:t>
            </w:r>
            <w:r w:rsidR="00FB733A">
              <w:rPr>
                <w:rFonts w:ascii="Calibri" w:eastAsia="Times New Roman" w:hAnsi="Calibri" w:cs="Times New Roman"/>
                <w:b/>
                <w:i/>
                <w:color w:val="000000"/>
                <w:lang w:val="fr-CA"/>
              </w:rPr>
              <w:t>qui découlerait du défaut d’un seul participant et de ses affiliés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y compris les opérations compensées pour des participants indirects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 xml:space="preserve">dans des conditions de marché </w:t>
            </w:r>
            <w:r w:rsidR="00DD546E">
              <w:rPr>
                <w:rFonts w:ascii="Calibri" w:eastAsia="Times New Roman" w:hAnsi="Calibri" w:cs="Times New Roman"/>
                <w:b/>
                <w:i/>
                <w:color w:val="000000"/>
                <w:lang w:val="fr-CA"/>
              </w:rPr>
              <w:t>extrêmes,</w:t>
            </w:r>
            <w:r w:rsidR="00FB733A">
              <w:rPr>
                <w:rFonts w:ascii="Calibri" w:eastAsia="Times New Roman" w:hAnsi="Calibri" w:cs="Times New Roman"/>
                <w:b/>
                <w:i/>
                <w:color w:val="000000"/>
                <w:lang w:val="fr-CA"/>
              </w:rPr>
              <w:t xml:space="preserve"> mais plausible</w:t>
            </w:r>
            <w:r w:rsidRPr="001C0132">
              <w:rPr>
                <w:rFonts w:ascii="Calibri" w:eastAsia="Times New Roman" w:hAnsi="Calibri" w:cs="Times New Roman"/>
                <w:b/>
                <w:i/>
                <w:color w:val="000000"/>
                <w:lang w:val="fr-CA"/>
              </w:rPr>
              <w:t>s</w:t>
            </w:r>
            <w:bookmarkEnd w:id="42"/>
          </w:p>
          <w:p w14:paraId="6DB11229"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6FE30E9D" w14:textId="77777777" w:rsidR="00BB54BE" w:rsidRDefault="00DA635D" w:rsidP="00DA635D">
            <w:pPr>
              <w:spacing w:line="240" w:lineRule="auto"/>
              <w:jc w:val="both"/>
              <w:rPr>
                <w:rFonts w:ascii="Calibri" w:eastAsia="Times New Roman" w:hAnsi="Calibri" w:cs="Times New Roman"/>
                <w:color w:val="000000"/>
                <w:lang w:val="fr-CA"/>
              </w:rPr>
            </w:pPr>
            <w:bookmarkStart w:id="43" w:name="lt_pId070"/>
            <w:r>
              <w:rPr>
                <w:rFonts w:ascii="Calibri" w:eastAsia="Times New Roman" w:hAnsi="Calibri" w:cs="Times New Roman"/>
                <w:color w:val="000000"/>
                <w:lang w:val="fr-CA"/>
              </w:rPr>
              <w:lastRenderedPageBreak/>
              <w:t>L’estimation de l’</w:t>
            </w:r>
            <w:r w:rsidR="00BB54BE" w:rsidRPr="001C0132">
              <w:rPr>
                <w:rFonts w:ascii="Calibri" w:eastAsia="Times New Roman" w:hAnsi="Calibri" w:cs="Times New Roman"/>
                <w:color w:val="000000"/>
                <w:lang w:val="fr-CA"/>
              </w:rPr>
              <w:t xml:space="preserve">obligation </w:t>
            </w:r>
            <w:r>
              <w:rPr>
                <w:rFonts w:ascii="Calibri" w:eastAsia="Times New Roman" w:hAnsi="Calibri" w:cs="Times New Roman"/>
                <w:color w:val="000000"/>
                <w:lang w:val="fr-CA"/>
              </w:rPr>
              <w:t>de paiement la plus importante est définie comme étant l’exposition brute au risque de liquidité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qui sous-tend le manque de liquidité le plus élevé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exposition brute au risque de liquidité moins ressources admissibles liquides</w:t>
            </w:r>
            <w:r w:rsidR="00BB54BE" w:rsidRPr="001C0132">
              <w:rPr>
                <w:rFonts w:ascii="Calibri" w:eastAsia="Times New Roman" w:hAnsi="Calibri" w:cs="Times New Roman"/>
                <w:color w:val="000000"/>
                <w:lang w:val="fr-CA"/>
              </w:rPr>
              <w:t>).</w:t>
            </w:r>
            <w:bookmarkEnd w:id="43"/>
          </w:p>
          <w:p w14:paraId="0936B9F0" w14:textId="77777777" w:rsidR="007C16CF" w:rsidRDefault="007C16CF" w:rsidP="00256E68">
            <w:pPr>
              <w:rPr>
                <w:rFonts w:ascii="Calibri" w:eastAsia="Times New Roman" w:hAnsi="Calibri" w:cs="Times New Roman"/>
                <w:lang w:val="fr-CA"/>
              </w:rPr>
            </w:pPr>
          </w:p>
          <w:p w14:paraId="2ED66C5E" w14:textId="2DA53579" w:rsidR="00D669A2" w:rsidRDefault="00D669A2"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b/>
                <w:i/>
                <w:color w:val="000000"/>
                <w:lang w:val="fr-CA"/>
              </w:rPr>
              <w:t>7.3.4</w:t>
            </w:r>
            <w:r w:rsidRPr="001C0132">
              <w:rPr>
                <w:rFonts w:ascii="Calibri" w:eastAsia="Times New Roman" w:hAnsi="Calibri" w:cs="Times New Roman"/>
                <w:b/>
                <w:i/>
                <w:color w:val="000000"/>
                <w:lang w:val="fr-CA"/>
              </w:rPr>
              <w:t xml:space="preserve">. </w:t>
            </w:r>
            <w:r w:rsidR="00697D23">
              <w:rPr>
                <w:rFonts w:ascii="Calibri" w:eastAsia="Times New Roman" w:hAnsi="Calibri" w:cs="Times New Roman"/>
                <w:b/>
                <w:i/>
                <w:color w:val="000000"/>
                <w:lang w:val="fr-CA"/>
              </w:rPr>
              <w:t>la plus importante o</w:t>
            </w:r>
            <w:r>
              <w:rPr>
                <w:rFonts w:ascii="Calibri" w:eastAsia="Times New Roman" w:hAnsi="Calibri" w:cs="Times New Roman"/>
                <w:b/>
                <w:i/>
                <w:color w:val="000000"/>
                <w:lang w:val="fr-CA"/>
              </w:rPr>
              <w:t>bligation de paiement</w:t>
            </w:r>
            <w:r w:rsidR="00697D23">
              <w:rPr>
                <w:rFonts w:ascii="Calibri" w:eastAsia="Times New Roman" w:hAnsi="Calibri" w:cs="Times New Roman"/>
                <w:b/>
                <w:i/>
                <w:color w:val="000000"/>
                <w:lang w:val="fr-CA"/>
              </w:rPr>
              <w:t xml:space="preserve"> réelle </w:t>
            </w:r>
            <w:r>
              <w:rPr>
                <w:rFonts w:ascii="Calibri" w:eastAsia="Times New Roman" w:hAnsi="Calibri" w:cs="Times New Roman"/>
                <w:b/>
                <w:i/>
                <w:color w:val="000000"/>
                <w:lang w:val="fr-CA"/>
              </w:rPr>
              <w:t>le jour même et</w:t>
            </w:r>
            <w:r w:rsidR="00697D23">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l’obligation de paiement</w:t>
            </w:r>
            <w:r w:rsidR="00697D23" w:rsidRPr="00697D23">
              <w:rPr>
                <w:lang w:val="fr-CA"/>
              </w:rPr>
              <w:t xml:space="preserve"> </w:t>
            </w:r>
            <w:r w:rsidR="00697D23" w:rsidRPr="00697D23">
              <w:rPr>
                <w:rFonts w:ascii="Calibri" w:eastAsia="Times New Roman" w:hAnsi="Calibri" w:cs="Times New Roman"/>
                <w:b/>
                <w:i/>
                <w:color w:val="000000"/>
                <w:lang w:val="fr-CA"/>
              </w:rPr>
              <w:t>réelle</w:t>
            </w:r>
            <w:r>
              <w:rPr>
                <w:rFonts w:ascii="Calibri" w:eastAsia="Times New Roman" w:hAnsi="Calibri" w:cs="Times New Roman"/>
                <w:b/>
                <w:i/>
                <w:color w:val="000000"/>
                <w:lang w:val="fr-CA"/>
              </w:rPr>
              <w:t xml:space="preserve"> sur plusieurs jours</w:t>
            </w:r>
          </w:p>
          <w:p w14:paraId="36014005" w14:textId="77777777" w:rsidR="00697D23" w:rsidRDefault="00697D23" w:rsidP="00D669A2">
            <w:pPr>
              <w:spacing w:line="240" w:lineRule="auto"/>
              <w:jc w:val="both"/>
              <w:rPr>
                <w:rFonts w:ascii="Calibri" w:eastAsia="Times New Roman" w:hAnsi="Calibri" w:cs="Times New Roman"/>
                <w:b/>
                <w:i/>
                <w:color w:val="000000"/>
                <w:lang w:val="fr-CA"/>
              </w:rPr>
            </w:pPr>
          </w:p>
          <w:p w14:paraId="6901CA38" w14:textId="036C6B31" w:rsidR="00697D23" w:rsidRPr="00500CFC" w:rsidRDefault="00EF4814"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color w:val="000000"/>
                <w:lang w:val="fr-CA"/>
              </w:rPr>
              <w:t>L’information</w:t>
            </w:r>
            <w:r w:rsidRPr="001B0831">
              <w:rPr>
                <w:rFonts w:ascii="Calibri" w:eastAsia="Times New Roman" w:hAnsi="Calibri" w:cs="Times New Roman"/>
                <w:color w:val="000000"/>
                <w:lang w:val="fr-CA"/>
              </w:rPr>
              <w:t xml:space="preserve"> présentée </w:t>
            </w:r>
            <w:r>
              <w:rPr>
                <w:rFonts w:ascii="Calibri" w:eastAsia="Times New Roman" w:hAnsi="Calibri" w:cs="Times New Roman"/>
                <w:color w:val="000000"/>
                <w:lang w:val="fr-CA"/>
              </w:rPr>
              <w:t>dans ce point</w:t>
            </w:r>
            <w:r w:rsidR="00500CFC" w:rsidRPr="00500CFC">
              <w:rPr>
                <w:rFonts w:ascii="Calibri" w:eastAsia="Times New Roman" w:hAnsi="Calibri" w:cs="Times New Roman"/>
                <w:b/>
                <w:i/>
                <w:color w:val="000000"/>
                <w:lang w:val="fr-CA"/>
              </w:rPr>
              <w:t xml:space="preserve"> </w:t>
            </w:r>
            <w:r w:rsidRPr="00500CFC">
              <w:rPr>
                <w:rFonts w:ascii="Calibri" w:eastAsia="Times New Roman" w:hAnsi="Calibri" w:cs="Times New Roman"/>
                <w:color w:val="000000"/>
                <w:lang w:val="fr-CA"/>
              </w:rPr>
              <w:t>re</w:t>
            </w:r>
            <w:r>
              <w:rPr>
                <w:rFonts w:ascii="Calibri" w:eastAsia="Times New Roman" w:hAnsi="Calibri" w:cs="Times New Roman"/>
                <w:color w:val="000000"/>
                <w:lang w:val="fr-CA"/>
              </w:rPr>
              <w:t>présente</w:t>
            </w:r>
            <w:r w:rsidR="00500CFC" w:rsidRPr="00500CFC">
              <w:rPr>
                <w:rFonts w:ascii="Calibri" w:eastAsia="Times New Roman" w:hAnsi="Calibri" w:cs="Times New Roman"/>
                <w:color w:val="000000"/>
                <w:lang w:val="fr-CA"/>
              </w:rPr>
              <w:t xml:space="preserve"> l</w:t>
            </w:r>
            <w:r w:rsidR="00500CFC">
              <w:rPr>
                <w:rFonts w:ascii="Calibri" w:eastAsia="Times New Roman" w:hAnsi="Calibri" w:cs="Times New Roman"/>
                <w:color w:val="000000"/>
                <w:lang w:val="fr-CA"/>
              </w:rPr>
              <w:t>’estimation de l’</w:t>
            </w:r>
            <w:r w:rsidR="00500CFC" w:rsidRPr="001C0132">
              <w:rPr>
                <w:rFonts w:ascii="Calibri" w:eastAsia="Times New Roman" w:hAnsi="Calibri" w:cs="Times New Roman"/>
                <w:color w:val="000000"/>
                <w:lang w:val="fr-CA"/>
              </w:rPr>
              <w:t xml:space="preserve">obligation </w:t>
            </w:r>
            <w:r w:rsidR="00500CFC">
              <w:rPr>
                <w:rFonts w:ascii="Calibri" w:eastAsia="Times New Roman" w:hAnsi="Calibri" w:cs="Times New Roman"/>
                <w:color w:val="000000"/>
                <w:lang w:val="fr-CA"/>
              </w:rPr>
              <w:t>de paiement la plus importante observée au courant de l’année dernière.</w:t>
            </w:r>
          </w:p>
          <w:p w14:paraId="5C010E57" w14:textId="71DFB958" w:rsidR="00D669A2" w:rsidRPr="00500CFC" w:rsidRDefault="00D669A2" w:rsidP="00D669A2">
            <w:pPr>
              <w:spacing w:line="240" w:lineRule="auto"/>
              <w:jc w:val="both"/>
              <w:rPr>
                <w:rFonts w:ascii="Calibri" w:eastAsia="Times New Roman" w:hAnsi="Calibri" w:cs="Times New Roman"/>
                <w:lang w:val="fr-CA"/>
              </w:rPr>
            </w:pPr>
          </w:p>
        </w:tc>
      </w:tr>
      <w:tr w:rsidR="001B0831" w:rsidRPr="007055E7" w14:paraId="7D71021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tcPr>
          <w:p w14:paraId="3AC856DC" w14:textId="736AD4EB" w:rsidR="001B0831" w:rsidRPr="001C0132" w:rsidRDefault="001B0831" w:rsidP="006B76A4">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lastRenderedPageBreak/>
              <w:t>15</w:t>
            </w:r>
          </w:p>
        </w:tc>
        <w:tc>
          <w:tcPr>
            <w:tcW w:w="7767" w:type="dxa"/>
            <w:tcBorders>
              <w:top w:val="single" w:sz="4" w:space="0" w:color="auto"/>
              <w:left w:val="single" w:sz="4" w:space="0" w:color="auto"/>
              <w:bottom w:val="single" w:sz="4" w:space="0" w:color="auto"/>
              <w:right w:val="single" w:sz="4" w:space="0" w:color="auto"/>
            </w:tcBorders>
            <w:vAlign w:val="center"/>
          </w:tcPr>
          <w:p w14:paraId="7F0F802F" w14:textId="31377879" w:rsidR="001B0831" w:rsidRPr="001B0831" w:rsidRDefault="001B0831" w:rsidP="001B0831">
            <w:pPr>
              <w:spacing w:line="240" w:lineRule="auto"/>
              <w:rPr>
                <w:rFonts w:ascii="Calibri" w:eastAsia="Times New Roman" w:hAnsi="Calibri" w:cs="Times New Roman"/>
                <w:b/>
                <w:i/>
                <w:color w:val="000000"/>
                <w:lang w:val="fr-CA"/>
              </w:rPr>
            </w:pPr>
            <w:r w:rsidRPr="001B0831">
              <w:rPr>
                <w:rFonts w:ascii="Calibri" w:eastAsia="Times New Roman" w:hAnsi="Calibri" w:cs="Times New Roman"/>
                <w:b/>
                <w:i/>
                <w:color w:val="000000"/>
                <w:lang w:val="fr-CA"/>
              </w:rPr>
              <w:t>15. Risque d’affaire général</w:t>
            </w:r>
          </w:p>
          <w:p w14:paraId="7C67940E" w14:textId="77777777" w:rsidR="001B0831" w:rsidRDefault="001B0831" w:rsidP="00F91608">
            <w:pPr>
              <w:spacing w:line="240" w:lineRule="auto"/>
              <w:rPr>
                <w:rFonts w:ascii="Calibri" w:eastAsia="Times New Roman" w:hAnsi="Calibri" w:cs="Times New Roman"/>
                <w:color w:val="000000"/>
                <w:lang w:val="fr-CA"/>
              </w:rPr>
            </w:pPr>
          </w:p>
          <w:p w14:paraId="32B8FA8F" w14:textId="66B9F2D5" w:rsidR="001B0831" w:rsidRPr="001B0831" w:rsidRDefault="001B0831" w:rsidP="003471BB">
            <w:pPr>
              <w:spacing w:line="240" w:lineRule="auto"/>
              <w:rPr>
                <w:rFonts w:ascii="Calibri" w:eastAsia="Times New Roman" w:hAnsi="Calibri" w:cs="Times New Roman"/>
                <w:color w:val="000000"/>
                <w:lang w:val="fr-CA"/>
              </w:rPr>
            </w:pPr>
            <w:r w:rsidRPr="001B0831">
              <w:rPr>
                <w:rFonts w:ascii="Calibri" w:eastAsia="Times New Roman" w:hAnsi="Calibri" w:cs="Times New Roman"/>
                <w:color w:val="000000"/>
                <w:lang w:val="fr-CA"/>
              </w:rPr>
              <w:t xml:space="preserve">Les informations financières présentées </w:t>
            </w:r>
            <w:r>
              <w:rPr>
                <w:rFonts w:ascii="Calibri" w:eastAsia="Times New Roman" w:hAnsi="Calibri" w:cs="Times New Roman"/>
                <w:color w:val="000000"/>
                <w:lang w:val="fr-CA"/>
              </w:rPr>
              <w:t>dans les points</w:t>
            </w:r>
            <w:r w:rsidRPr="001B0831">
              <w:rPr>
                <w:rFonts w:ascii="Calibri" w:eastAsia="Times New Roman" w:hAnsi="Calibri" w:cs="Times New Roman"/>
                <w:color w:val="000000"/>
                <w:lang w:val="fr-CA"/>
              </w:rPr>
              <w:t xml:space="preserve"> 15.1 et 15.2 sont lié</w:t>
            </w:r>
            <w:r>
              <w:rPr>
                <w:rFonts w:ascii="Calibri" w:eastAsia="Times New Roman" w:hAnsi="Calibri" w:cs="Times New Roman"/>
                <w:color w:val="000000"/>
                <w:lang w:val="fr-CA"/>
              </w:rPr>
              <w:t>e</w:t>
            </w:r>
            <w:r w:rsidRPr="001B0831">
              <w:rPr>
                <w:rFonts w:ascii="Calibri" w:eastAsia="Times New Roman" w:hAnsi="Calibri" w:cs="Times New Roman"/>
                <w:color w:val="000000"/>
                <w:lang w:val="fr-CA"/>
              </w:rPr>
              <w:t xml:space="preserve">s à l'exercice clos </w:t>
            </w:r>
            <w:r w:rsidR="00226D3D">
              <w:rPr>
                <w:rFonts w:ascii="Calibri" w:eastAsia="Times New Roman" w:hAnsi="Calibri" w:cs="Times New Roman"/>
                <w:color w:val="000000"/>
                <w:lang w:val="fr-CA"/>
              </w:rPr>
              <w:t>le 3</w:t>
            </w:r>
            <w:r w:rsidR="009571A4">
              <w:rPr>
                <w:rFonts w:ascii="Calibri" w:eastAsia="Times New Roman" w:hAnsi="Calibri" w:cs="Times New Roman"/>
                <w:color w:val="000000"/>
                <w:lang w:val="fr-CA"/>
              </w:rPr>
              <w:t>1</w:t>
            </w:r>
            <w:r w:rsidR="00226D3D">
              <w:rPr>
                <w:rFonts w:ascii="Calibri" w:eastAsia="Times New Roman" w:hAnsi="Calibri" w:cs="Times New Roman"/>
                <w:color w:val="000000"/>
                <w:lang w:val="fr-CA"/>
              </w:rPr>
              <w:t xml:space="preserve"> Décembre 20</w:t>
            </w:r>
            <w:r w:rsidR="00E71653">
              <w:rPr>
                <w:rFonts w:ascii="Calibri" w:eastAsia="Times New Roman" w:hAnsi="Calibri" w:cs="Times New Roman"/>
                <w:color w:val="000000"/>
                <w:lang w:val="fr-CA"/>
              </w:rPr>
              <w:t>2</w:t>
            </w:r>
            <w:r w:rsidR="003471BB">
              <w:rPr>
                <w:rFonts w:ascii="Calibri" w:eastAsia="Times New Roman" w:hAnsi="Calibri" w:cs="Times New Roman"/>
                <w:color w:val="000000"/>
                <w:lang w:val="fr-CA"/>
              </w:rPr>
              <w:t>1</w:t>
            </w:r>
            <w:r w:rsidRPr="001B0831">
              <w:rPr>
                <w:rFonts w:ascii="Calibri" w:eastAsia="Times New Roman" w:hAnsi="Calibri" w:cs="Times New Roman"/>
                <w:color w:val="000000"/>
                <w:lang w:val="fr-CA"/>
              </w:rPr>
              <w:t>.</w:t>
            </w:r>
          </w:p>
        </w:tc>
      </w:tr>
      <w:tr w:rsidR="00F91608" w:rsidRPr="007055E7" w14:paraId="162CEF2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AF97605" w14:textId="5D6355AB" w:rsidR="00F91608" w:rsidRPr="001C0132" w:rsidRDefault="00F91608"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16</w:t>
            </w:r>
          </w:p>
        </w:tc>
        <w:tc>
          <w:tcPr>
            <w:tcW w:w="7767" w:type="dxa"/>
            <w:tcBorders>
              <w:top w:val="single" w:sz="4" w:space="0" w:color="auto"/>
              <w:left w:val="single" w:sz="4" w:space="0" w:color="auto"/>
              <w:bottom w:val="single" w:sz="4" w:space="0" w:color="auto"/>
              <w:right w:val="single" w:sz="4" w:space="0" w:color="auto"/>
            </w:tcBorders>
            <w:vAlign w:val="center"/>
          </w:tcPr>
          <w:p w14:paraId="46DA7808" w14:textId="77777777" w:rsidR="00F91608" w:rsidRPr="001C0132" w:rsidRDefault="00F91608" w:rsidP="00F91608">
            <w:pPr>
              <w:spacing w:line="240" w:lineRule="auto"/>
              <w:rPr>
                <w:rFonts w:ascii="Calibri" w:eastAsia="Times New Roman" w:hAnsi="Calibri" w:cs="Times New Roman"/>
                <w:color w:val="000000"/>
                <w:lang w:val="fr-CA"/>
              </w:rPr>
            </w:pPr>
          </w:p>
          <w:p w14:paraId="463BAEDC" w14:textId="77777777" w:rsidR="00F91608" w:rsidRPr="001C0132" w:rsidRDefault="00F91608" w:rsidP="00F91608">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16.3.</w:t>
            </w:r>
            <w:r w:rsidRPr="001C0132">
              <w:rPr>
                <w:b/>
                <w:i/>
                <w:lang w:val="fr-CA"/>
              </w:rPr>
              <w:t xml:space="preserve"> </w:t>
            </w:r>
            <w:bookmarkStart w:id="44" w:name="lt_pId083"/>
            <w:r>
              <w:rPr>
                <w:rFonts w:ascii="Calibri" w:eastAsia="Times New Roman" w:hAnsi="Calibri" w:cs="Times New Roman"/>
                <w:b/>
                <w:i/>
                <w:color w:val="000000"/>
                <w:lang w:val="fr-CA"/>
              </w:rPr>
              <w:t xml:space="preserve">Reconstitution d’hypothèque </w:t>
            </w:r>
            <w:r w:rsidRPr="00C92937">
              <w:rPr>
                <w:rFonts w:ascii="Calibri" w:eastAsia="Times New Roman" w:hAnsi="Calibri" w:cs="Times New Roman"/>
                <w:b/>
                <w:i/>
                <w:color w:val="000000"/>
                <w:lang w:val="fr-CA"/>
              </w:rPr>
              <w:t>d</w:t>
            </w:r>
            <w:r>
              <w:rPr>
                <w:rFonts w:ascii="Calibri" w:eastAsia="Times New Roman" w:hAnsi="Calibri" w:cs="Times New Roman"/>
                <w:b/>
                <w:i/>
                <w:color w:val="000000"/>
                <w:lang w:val="fr-CA"/>
              </w:rPr>
              <w:t xml:space="preserve">es </w:t>
            </w:r>
            <w:r w:rsidRPr="00C92937">
              <w:rPr>
                <w:rFonts w:ascii="Calibri" w:eastAsia="Times New Roman" w:hAnsi="Calibri" w:cs="Times New Roman"/>
                <w:b/>
                <w:i/>
                <w:color w:val="000000"/>
                <w:lang w:val="fr-CA"/>
              </w:rPr>
              <w:t>actifs de membres compensateurs</w:t>
            </w:r>
            <w:bookmarkEnd w:id="44"/>
          </w:p>
          <w:p w14:paraId="7AB01399" w14:textId="77777777" w:rsidR="00F91608" w:rsidRPr="001C0132" w:rsidRDefault="00F91608" w:rsidP="00F91608">
            <w:pPr>
              <w:spacing w:line="240" w:lineRule="auto"/>
              <w:rPr>
                <w:rFonts w:ascii="Calibri" w:eastAsia="Times New Roman" w:hAnsi="Calibri" w:cs="Times New Roman"/>
                <w:color w:val="000000"/>
                <w:lang w:val="fr-CA"/>
              </w:rPr>
            </w:pPr>
          </w:p>
          <w:p w14:paraId="4FECC114" w14:textId="77777777" w:rsidR="00F91608" w:rsidRDefault="00F91608" w:rsidP="00F91608">
            <w:pPr>
              <w:spacing w:line="240" w:lineRule="auto"/>
              <w:rPr>
                <w:rFonts w:ascii="Calibri" w:eastAsia="Times New Roman" w:hAnsi="Calibri" w:cs="Times New Roman"/>
                <w:color w:val="000000"/>
                <w:lang w:val="fr-CA"/>
              </w:rPr>
            </w:pPr>
            <w:bookmarkStart w:id="45" w:name="lt_pId084"/>
            <w:r>
              <w:rPr>
                <w:rFonts w:ascii="Calibri" w:eastAsia="Times New Roman" w:hAnsi="Calibri" w:cs="Times New Roman"/>
                <w:color w:val="000000"/>
                <w:lang w:val="fr-CA"/>
              </w:rPr>
              <w:t>Seuls les actifs au fonds de compensation peuvent faire l’objet d’une reconstitution d’hypothèque</w:t>
            </w:r>
            <w:r w:rsidRPr="001C0132">
              <w:rPr>
                <w:rFonts w:ascii="Calibri" w:eastAsia="Times New Roman" w:hAnsi="Calibri" w:cs="Times New Roman"/>
                <w:color w:val="000000"/>
                <w:lang w:val="fr-CA"/>
              </w:rPr>
              <w:t>.</w:t>
            </w:r>
            <w:bookmarkEnd w:id="45"/>
          </w:p>
          <w:p w14:paraId="4D56CE16" w14:textId="77777777" w:rsidR="00F91608" w:rsidRPr="001C0132" w:rsidRDefault="00F91608" w:rsidP="006B76A4">
            <w:pPr>
              <w:spacing w:line="240" w:lineRule="auto"/>
              <w:rPr>
                <w:rFonts w:ascii="Calibri" w:eastAsia="Times New Roman" w:hAnsi="Calibri" w:cs="Times New Roman"/>
                <w:color w:val="000000"/>
                <w:lang w:val="fr-CA"/>
              </w:rPr>
            </w:pPr>
          </w:p>
        </w:tc>
      </w:tr>
      <w:tr w:rsidR="00F91608" w:rsidRPr="007055E7" w14:paraId="33CAD5F2"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54E021E8" w14:textId="54803A72" w:rsidR="00F91608" w:rsidRPr="001C0132" w:rsidRDefault="00F91608" w:rsidP="00F91608">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17</w:t>
            </w:r>
          </w:p>
        </w:tc>
        <w:tc>
          <w:tcPr>
            <w:tcW w:w="7767" w:type="dxa"/>
            <w:tcBorders>
              <w:top w:val="single" w:sz="4" w:space="0" w:color="auto"/>
              <w:left w:val="single" w:sz="4" w:space="0" w:color="auto"/>
              <w:bottom w:val="single" w:sz="4" w:space="0" w:color="auto"/>
              <w:right w:val="single" w:sz="4" w:space="0" w:color="auto"/>
            </w:tcBorders>
            <w:vAlign w:val="center"/>
          </w:tcPr>
          <w:p w14:paraId="564F0633" w14:textId="77777777" w:rsidR="00F91608" w:rsidRPr="001C0132" w:rsidRDefault="00F91608" w:rsidP="00F91608">
            <w:pPr>
              <w:pStyle w:val="Paragraphedeliste"/>
              <w:spacing w:line="276" w:lineRule="auto"/>
              <w:ind w:left="0"/>
              <w:rPr>
                <w:b/>
                <w:i/>
                <w:color w:val="000000"/>
                <w:lang w:eastAsia="en-US"/>
              </w:rPr>
            </w:pPr>
          </w:p>
          <w:p w14:paraId="30ADA3C0" w14:textId="77777777" w:rsidR="00F91608" w:rsidRPr="001C0132" w:rsidRDefault="00F91608" w:rsidP="00F91608">
            <w:pPr>
              <w:pStyle w:val="Paragraphedeliste"/>
              <w:spacing w:line="276" w:lineRule="auto"/>
              <w:ind w:left="0"/>
              <w:rPr>
                <w:b/>
                <w:i/>
                <w:color w:val="000000"/>
                <w:lang w:eastAsia="en-US"/>
              </w:rPr>
            </w:pPr>
            <w:r w:rsidRPr="001C0132">
              <w:rPr>
                <w:b/>
                <w:i/>
                <w:color w:val="000000"/>
                <w:lang w:eastAsia="en-US"/>
              </w:rPr>
              <w:t xml:space="preserve">17.2. </w:t>
            </w:r>
            <w:r>
              <w:rPr>
                <w:b/>
                <w:i/>
                <w:color w:val="000000"/>
                <w:lang w:eastAsia="en-US"/>
              </w:rPr>
              <w:t>Disponibilité réelle des systèmes centraux au cours de la période de douze moins précédente</w:t>
            </w:r>
            <w:r w:rsidRPr="001C0132">
              <w:rPr>
                <w:b/>
                <w:i/>
                <w:color w:val="000000"/>
                <w:lang w:eastAsia="en-US"/>
              </w:rPr>
              <w:t>.</w:t>
            </w:r>
          </w:p>
          <w:p w14:paraId="106FD2B2" w14:textId="77777777" w:rsidR="00F91608" w:rsidRPr="001C0132" w:rsidRDefault="00F91608" w:rsidP="00F91608">
            <w:pPr>
              <w:pStyle w:val="Paragraphedeliste"/>
              <w:spacing w:line="276" w:lineRule="auto"/>
              <w:ind w:left="0"/>
              <w:rPr>
                <w:lang w:eastAsia="en-US"/>
              </w:rPr>
            </w:pPr>
          </w:p>
          <w:p w14:paraId="2CF2B741" w14:textId="77777777" w:rsidR="00F91608" w:rsidRPr="001C0132" w:rsidRDefault="00F91608" w:rsidP="00F91608">
            <w:pPr>
              <w:pStyle w:val="Paragraphedeliste"/>
              <w:spacing w:line="276" w:lineRule="auto"/>
              <w:ind w:left="0"/>
              <w:rPr>
                <w:lang w:eastAsia="en-US"/>
              </w:rPr>
            </w:pPr>
            <w:r>
              <w:rPr>
                <w:lang w:eastAsia="en-US"/>
              </w:rPr>
              <w:t>Définition de « système principal » de la CDCC </w:t>
            </w:r>
            <w:r w:rsidRPr="001C0132">
              <w:rPr>
                <w:lang w:eastAsia="en-US"/>
              </w:rPr>
              <w:t xml:space="preserve">: </w:t>
            </w:r>
          </w:p>
          <w:p w14:paraId="766D021D" w14:textId="77777777" w:rsidR="00F91608" w:rsidRPr="001C0132" w:rsidRDefault="00F91608" w:rsidP="00F91608">
            <w:pPr>
              <w:pStyle w:val="Paragraphedeliste"/>
              <w:spacing w:line="276" w:lineRule="auto"/>
              <w:ind w:left="0"/>
              <w:jc w:val="both"/>
              <w:rPr>
                <w:bCs/>
                <w:lang w:eastAsia="en-US"/>
              </w:rPr>
            </w:pPr>
            <w:r>
              <w:rPr>
                <w:bCs/>
                <w:lang w:eastAsia="en-US"/>
              </w:rPr>
              <w:t>La </w:t>
            </w:r>
            <w:r w:rsidRPr="001C0132">
              <w:rPr>
                <w:bCs/>
                <w:lang w:eastAsia="en-US"/>
              </w:rPr>
              <w:t xml:space="preserve">CDCC </w:t>
            </w:r>
            <w:r>
              <w:rPr>
                <w:bCs/>
                <w:lang w:eastAsia="en-US"/>
              </w:rPr>
              <w:t>considère le service canadien de compensation de produits dérivés consacré aux activités quotidiennes de compensation et de règlement comme son système central</w:t>
            </w:r>
            <w:r w:rsidRPr="001C0132">
              <w:rPr>
                <w:bCs/>
                <w:lang w:eastAsia="en-US"/>
              </w:rPr>
              <w:t>.</w:t>
            </w:r>
          </w:p>
          <w:p w14:paraId="4EF71A01" w14:textId="77777777" w:rsidR="00F91608" w:rsidRPr="001C0132" w:rsidRDefault="00F91608" w:rsidP="00F91608">
            <w:pPr>
              <w:spacing w:line="240" w:lineRule="auto"/>
              <w:rPr>
                <w:rFonts w:ascii="Calibri" w:eastAsia="Times New Roman" w:hAnsi="Calibri" w:cs="Times New Roman"/>
                <w:color w:val="000000"/>
                <w:lang w:val="fr-CA"/>
              </w:rPr>
            </w:pPr>
          </w:p>
          <w:p w14:paraId="78AD81C9" w14:textId="77777777" w:rsidR="00F91608" w:rsidRPr="001C0132" w:rsidRDefault="00F91608" w:rsidP="00F91608">
            <w:pPr>
              <w:pStyle w:val="Paragraphedeliste"/>
              <w:spacing w:line="276" w:lineRule="auto"/>
              <w:ind w:left="0"/>
              <w:rPr>
                <w:b/>
                <w:i/>
                <w:color w:val="000000"/>
                <w:lang w:eastAsia="en-US"/>
              </w:rPr>
            </w:pPr>
            <w:r w:rsidRPr="001C0132">
              <w:rPr>
                <w:b/>
                <w:i/>
                <w:color w:val="000000"/>
                <w:lang w:eastAsia="en-US"/>
              </w:rPr>
              <w:t xml:space="preserve">17.3. </w:t>
            </w:r>
            <w:r>
              <w:rPr>
                <w:b/>
                <w:i/>
                <w:color w:val="000000"/>
                <w:lang w:eastAsia="en-US"/>
              </w:rPr>
              <w:t>Nombre total et durée de pannes de systèmes centraux utilisés pour la compensation au cours de la période de douze mois précédente</w:t>
            </w:r>
          </w:p>
          <w:p w14:paraId="3358EBAA" w14:textId="77777777" w:rsidR="00F91608" w:rsidRPr="001C0132" w:rsidRDefault="00F91608" w:rsidP="00F91608">
            <w:pPr>
              <w:pStyle w:val="Paragraphedeliste"/>
              <w:spacing w:line="276" w:lineRule="auto"/>
              <w:ind w:left="0"/>
              <w:rPr>
                <w:b/>
                <w:i/>
                <w:color w:val="000000"/>
                <w:lang w:eastAsia="en-US"/>
              </w:rPr>
            </w:pPr>
          </w:p>
          <w:p w14:paraId="7555A51B" w14:textId="77777777" w:rsidR="00F91608" w:rsidRPr="001C0132" w:rsidRDefault="00F91608" w:rsidP="00F91608">
            <w:pPr>
              <w:rPr>
                <w:lang w:val="fr-CA"/>
              </w:rPr>
            </w:pPr>
            <w:r>
              <w:rPr>
                <w:lang w:val="fr-CA"/>
              </w:rPr>
              <w:t>Définition de « panne de système » de la CDCC :</w:t>
            </w:r>
          </w:p>
          <w:p w14:paraId="71AC0088" w14:textId="77777777" w:rsidR="00F91608" w:rsidRPr="001C0132" w:rsidRDefault="00F91608" w:rsidP="00F91608">
            <w:pPr>
              <w:jc w:val="both"/>
              <w:rPr>
                <w:bCs/>
                <w:lang w:val="fr-CA"/>
              </w:rPr>
            </w:pPr>
            <w:r>
              <w:rPr>
                <w:bCs/>
                <w:lang w:val="fr-CA"/>
              </w:rPr>
              <w:t xml:space="preserve">Toute interruption du « système central » de la CDCC dépassant l’objectif de délai de reprise de deux </w:t>
            </w:r>
            <w:r w:rsidRPr="001C0132">
              <w:rPr>
                <w:bCs/>
                <w:lang w:val="fr-CA"/>
              </w:rPr>
              <w:t xml:space="preserve">(2) </w:t>
            </w:r>
            <w:r>
              <w:rPr>
                <w:bCs/>
                <w:lang w:val="fr-CA"/>
              </w:rPr>
              <w:t>heures touchant les processus d’affaires clés pendant une période critique où aucune solution de rechange n’est disponible pour répondre aux besoins</w:t>
            </w:r>
            <w:r w:rsidRPr="001C0132">
              <w:rPr>
                <w:bCs/>
                <w:lang w:val="fr-CA"/>
              </w:rPr>
              <w:t xml:space="preserve">, </w:t>
            </w:r>
            <w:r>
              <w:rPr>
                <w:bCs/>
                <w:lang w:val="fr-CA"/>
              </w:rPr>
              <w:t>ayant ainsi une incidence importante sur les membres compensateurs</w:t>
            </w:r>
            <w:r w:rsidRPr="001C0132">
              <w:rPr>
                <w:bCs/>
                <w:lang w:val="fr-CA"/>
              </w:rPr>
              <w:t>.</w:t>
            </w:r>
          </w:p>
          <w:p w14:paraId="62355A01" w14:textId="1BEEEBDB" w:rsidR="00F91608" w:rsidRPr="001C0132" w:rsidRDefault="00F91608" w:rsidP="00F91608">
            <w:pPr>
              <w:spacing w:line="240" w:lineRule="auto"/>
              <w:rPr>
                <w:rFonts w:ascii="Calibri" w:eastAsia="Times New Roman" w:hAnsi="Calibri" w:cs="Times New Roman"/>
                <w:color w:val="000000"/>
                <w:lang w:val="fr-CA"/>
              </w:rPr>
            </w:pPr>
          </w:p>
        </w:tc>
      </w:tr>
      <w:tr w:rsidR="00F91608" w:rsidRPr="007055E7" w14:paraId="107FB3FD"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6C84AB2C" w14:textId="22D99BE9" w:rsidR="00F91608" w:rsidRPr="001C0132" w:rsidRDefault="00F91608" w:rsidP="00F91608">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23</w:t>
            </w:r>
          </w:p>
        </w:tc>
        <w:tc>
          <w:tcPr>
            <w:tcW w:w="7767" w:type="dxa"/>
            <w:tcBorders>
              <w:top w:val="single" w:sz="4" w:space="0" w:color="auto"/>
              <w:left w:val="single" w:sz="4" w:space="0" w:color="auto"/>
              <w:bottom w:val="single" w:sz="4" w:space="0" w:color="auto"/>
              <w:right w:val="single" w:sz="4" w:space="0" w:color="auto"/>
            </w:tcBorders>
            <w:vAlign w:val="center"/>
          </w:tcPr>
          <w:p w14:paraId="113EF1EB" w14:textId="77777777" w:rsidR="00F91608" w:rsidRPr="001C0132" w:rsidRDefault="00F91608" w:rsidP="006B76A4">
            <w:pPr>
              <w:spacing w:line="240" w:lineRule="auto"/>
              <w:rPr>
                <w:rFonts w:ascii="Calibri" w:eastAsia="Times New Roman" w:hAnsi="Calibri" w:cs="Times New Roman"/>
                <w:color w:val="000000"/>
                <w:lang w:val="fr-CA"/>
              </w:rPr>
            </w:pPr>
          </w:p>
          <w:p w14:paraId="36D387A8" w14:textId="77777777" w:rsidR="00F91608" w:rsidRPr="001C0132" w:rsidRDefault="00F91608"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23.1.</w:t>
            </w:r>
            <w:r w:rsidRPr="001C0132">
              <w:rPr>
                <w:b/>
                <w:i/>
                <w:lang w:val="fr-CA"/>
              </w:rPr>
              <w:t xml:space="preserve"> </w:t>
            </w:r>
            <w:bookmarkStart w:id="46" w:name="lt_pId087"/>
            <w:r w:rsidRPr="00055E80">
              <w:rPr>
                <w:rFonts w:ascii="Calibri" w:eastAsia="Times New Roman" w:hAnsi="Calibri" w:cs="Times New Roman"/>
                <w:b/>
                <w:i/>
                <w:color w:val="000000"/>
                <w:lang w:val="fr-CA"/>
              </w:rPr>
              <w:t>Divulgation de règles, procédures essentielles, de données de marché et de volumes moyens quotidiens</w:t>
            </w:r>
            <w:bookmarkEnd w:id="46"/>
          </w:p>
          <w:p w14:paraId="6C081637" w14:textId="77777777" w:rsidR="00F91608" w:rsidRPr="001C0132" w:rsidRDefault="00F91608" w:rsidP="006B76A4">
            <w:pPr>
              <w:spacing w:line="240" w:lineRule="auto"/>
              <w:jc w:val="both"/>
              <w:rPr>
                <w:rFonts w:ascii="Calibri" w:eastAsia="Times New Roman" w:hAnsi="Calibri" w:cs="Times New Roman"/>
                <w:b/>
                <w:color w:val="000000"/>
                <w:lang w:val="fr-CA"/>
              </w:rPr>
            </w:pPr>
          </w:p>
          <w:p w14:paraId="0D492230" w14:textId="02DE8735" w:rsidR="00F91608" w:rsidRDefault="00F91608" w:rsidP="00BF2F44">
            <w:pPr>
              <w:spacing w:line="240" w:lineRule="auto"/>
              <w:jc w:val="both"/>
              <w:rPr>
                <w:rFonts w:ascii="Calibri" w:eastAsia="Times New Roman" w:hAnsi="Calibri" w:cs="Times New Roman"/>
                <w:color w:val="000000"/>
                <w:lang w:val="fr-CA"/>
              </w:rPr>
            </w:pPr>
            <w:bookmarkStart w:id="47" w:name="lt_pId088"/>
            <w:r>
              <w:rPr>
                <w:rFonts w:ascii="Calibri" w:eastAsia="Times New Roman" w:hAnsi="Calibri" w:cs="Times New Roman"/>
                <w:color w:val="000000"/>
                <w:lang w:val="fr-CA"/>
              </w:rPr>
              <w:t xml:space="preserve">Les volumes et les notionnels sont comptés une seule fois </w:t>
            </w:r>
            <w:r w:rsidRPr="001C0132">
              <w:rPr>
                <w:rFonts w:ascii="Calibri" w:eastAsia="Times New Roman" w:hAnsi="Calibri" w:cs="Times New Roman"/>
                <w:color w:val="000000"/>
                <w:lang w:val="fr-CA"/>
              </w:rPr>
              <w:t>(</w:t>
            </w:r>
            <w:r>
              <w:rPr>
                <w:rFonts w:ascii="Calibri" w:eastAsia="Times New Roman" w:hAnsi="Calibri" w:cs="Times New Roman"/>
                <w:color w:val="000000"/>
                <w:lang w:val="fr-CA"/>
              </w:rPr>
              <w:t xml:space="preserve">seul un côté de </w:t>
            </w:r>
            <w:r>
              <w:rPr>
                <w:rFonts w:ascii="Calibri" w:eastAsia="Times New Roman" w:hAnsi="Calibri" w:cs="Times New Roman"/>
                <w:color w:val="000000"/>
                <w:lang w:val="fr-CA"/>
              </w:rPr>
              <w:lastRenderedPageBreak/>
              <w:t>l’opération est déclaré</w:t>
            </w:r>
            <w:r w:rsidRPr="001C0132">
              <w:rPr>
                <w:rFonts w:ascii="Calibri" w:eastAsia="Times New Roman" w:hAnsi="Calibri" w:cs="Times New Roman"/>
                <w:color w:val="000000"/>
                <w:lang w:val="fr-CA"/>
              </w:rPr>
              <w:t>).</w:t>
            </w:r>
            <w:bookmarkEnd w:id="47"/>
          </w:p>
          <w:p w14:paraId="64EAB064" w14:textId="77777777" w:rsidR="00F91608" w:rsidRDefault="00F91608" w:rsidP="009A2E94">
            <w:pPr>
              <w:spacing w:line="240" w:lineRule="auto"/>
              <w:jc w:val="both"/>
              <w:rPr>
                <w:rFonts w:ascii="Calibri" w:eastAsia="Times New Roman" w:hAnsi="Calibri" w:cs="Times New Roman"/>
                <w:color w:val="000000"/>
                <w:lang w:val="fr-CA"/>
              </w:rPr>
            </w:pPr>
          </w:p>
          <w:p w14:paraId="51ED07A0" w14:textId="77777777" w:rsidR="007055E7" w:rsidRPr="00910356" w:rsidRDefault="007055E7" w:rsidP="007055E7">
            <w:pPr>
              <w:spacing w:line="240" w:lineRule="auto"/>
              <w:rPr>
                <w:rFonts w:ascii="Calibri" w:eastAsia="Times New Roman" w:hAnsi="Calibri" w:cs="Times New Roman"/>
                <w:color w:val="000000"/>
                <w:lang w:val="fr-CA"/>
              </w:rPr>
            </w:pPr>
            <w:r w:rsidRPr="00657D97">
              <w:rPr>
                <w:rFonts w:ascii="Calibri" w:eastAsia="Times New Roman" w:hAnsi="Calibri" w:cs="Times New Roman"/>
                <w:color w:val="000000"/>
                <w:lang w:val="fr-CA"/>
              </w:rPr>
              <w:t>Le 30 Septembre est la journée nationale de la vérité et de la réconciliation</w:t>
            </w:r>
            <w:r>
              <w:rPr>
                <w:rFonts w:ascii="Calibri" w:eastAsia="Times New Roman" w:hAnsi="Calibri" w:cs="Times New Roman"/>
                <w:color w:val="000000"/>
                <w:lang w:val="fr-CA"/>
              </w:rPr>
              <w:t>. Soit un jour férié</w:t>
            </w:r>
            <w:r w:rsidRPr="00657D97">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durant lequel </w:t>
            </w:r>
            <w:r w:rsidRPr="00910356">
              <w:rPr>
                <w:rFonts w:ascii="Calibri" w:eastAsia="Times New Roman" w:hAnsi="Calibri" w:cs="Times New Roman"/>
                <w:color w:val="000000"/>
                <w:lang w:val="fr-CA"/>
              </w:rPr>
              <w:t>aucun règlement ne p</w:t>
            </w:r>
            <w:r>
              <w:rPr>
                <w:rFonts w:ascii="Calibri" w:eastAsia="Times New Roman" w:hAnsi="Calibri" w:cs="Times New Roman"/>
                <w:color w:val="000000"/>
                <w:lang w:val="fr-CA"/>
              </w:rPr>
              <w:t>eut</w:t>
            </w:r>
            <w:r w:rsidRPr="00910356">
              <w:rPr>
                <w:rFonts w:ascii="Calibri" w:eastAsia="Times New Roman" w:hAnsi="Calibri" w:cs="Times New Roman"/>
                <w:color w:val="000000"/>
                <w:lang w:val="fr-CA"/>
              </w:rPr>
              <w:t xml:space="preserve"> être effectué à la CDCC </w:t>
            </w:r>
            <w:r>
              <w:rPr>
                <w:rFonts w:ascii="Calibri" w:eastAsia="Times New Roman" w:hAnsi="Calibri" w:cs="Times New Roman"/>
                <w:color w:val="000000"/>
                <w:lang w:val="fr-CA"/>
              </w:rPr>
              <w:t xml:space="preserve">et dont </w:t>
            </w:r>
            <w:r w:rsidRPr="00910356">
              <w:rPr>
                <w:rFonts w:ascii="Calibri" w:eastAsia="Times New Roman" w:hAnsi="Calibri" w:cs="Times New Roman"/>
                <w:color w:val="000000"/>
                <w:lang w:val="fr-CA"/>
              </w:rPr>
              <w:t xml:space="preserve">le montant notionnel </w:t>
            </w:r>
            <w:r w:rsidRPr="00311311">
              <w:rPr>
                <w:rFonts w:ascii="Calibri" w:eastAsia="Times New Roman" w:hAnsi="Calibri" w:cs="Times New Roman"/>
                <w:lang w:val="fr-CA"/>
              </w:rPr>
              <w:t xml:space="preserve">brut compensé est </w:t>
            </w:r>
            <w:r w:rsidRPr="00910356">
              <w:rPr>
                <w:rFonts w:ascii="Calibri" w:eastAsia="Times New Roman" w:hAnsi="Calibri" w:cs="Times New Roman"/>
                <w:color w:val="000000"/>
                <w:lang w:val="fr-CA"/>
              </w:rPr>
              <w:t>nettement inférieur à un jour ouvrable normal</w:t>
            </w:r>
            <w:r w:rsidRPr="00657D97">
              <w:rPr>
                <w:rFonts w:ascii="Calibri" w:eastAsia="Times New Roman" w:hAnsi="Calibri" w:cs="Times New Roman"/>
                <w:color w:val="000000"/>
                <w:lang w:val="fr-CA"/>
              </w:rPr>
              <w:t xml:space="preserve">. </w:t>
            </w:r>
            <w:r w:rsidRPr="00910356">
              <w:rPr>
                <w:rFonts w:ascii="Calibri" w:eastAsia="Times New Roman" w:hAnsi="Calibri" w:cs="Times New Roman"/>
                <w:color w:val="000000"/>
                <w:lang w:val="fr-CA"/>
              </w:rPr>
              <w:t>En annexe, la CDCC ajoute les informations</w:t>
            </w:r>
            <w:r>
              <w:rPr>
                <w:rFonts w:ascii="Calibri" w:eastAsia="Times New Roman" w:hAnsi="Calibri" w:cs="Times New Roman"/>
                <w:color w:val="000000"/>
                <w:lang w:val="fr-CA"/>
              </w:rPr>
              <w:t xml:space="preserve"> au</w:t>
            </w:r>
            <w:r w:rsidRPr="00910356">
              <w:rPr>
                <w:rFonts w:ascii="Calibri" w:eastAsia="Times New Roman" w:hAnsi="Calibri" w:cs="Times New Roman"/>
                <w:color w:val="000000"/>
                <w:lang w:val="fr-CA"/>
              </w:rPr>
              <w:t xml:space="preserve"> </w:t>
            </w:r>
            <w:r>
              <w:rPr>
                <w:rFonts w:ascii="Calibri" w:eastAsia="Times New Roman" w:hAnsi="Calibri" w:cs="Times New Roman"/>
                <w:color w:val="000000"/>
                <w:lang w:val="fr-CA"/>
              </w:rPr>
              <w:t>29 Septembre afin de repré</w:t>
            </w:r>
            <w:r w:rsidRPr="00910356">
              <w:rPr>
                <w:rFonts w:ascii="Calibri" w:eastAsia="Times New Roman" w:hAnsi="Calibri" w:cs="Times New Roman"/>
                <w:color w:val="000000"/>
                <w:lang w:val="fr-CA"/>
              </w:rPr>
              <w:t>sent</w:t>
            </w:r>
            <w:r>
              <w:rPr>
                <w:rFonts w:ascii="Calibri" w:eastAsia="Times New Roman" w:hAnsi="Calibri" w:cs="Times New Roman"/>
                <w:color w:val="000000"/>
                <w:lang w:val="fr-CA"/>
              </w:rPr>
              <w:t>er le trimestre</w:t>
            </w:r>
            <w:r w:rsidRPr="00910356">
              <w:rPr>
                <w:rFonts w:ascii="Calibri" w:eastAsia="Times New Roman" w:hAnsi="Calibri" w:cs="Times New Roman"/>
                <w:color w:val="000000"/>
                <w:lang w:val="fr-CA"/>
              </w:rPr>
              <w:t>:</w:t>
            </w:r>
          </w:p>
          <w:p w14:paraId="5D5DD225" w14:textId="77777777" w:rsidR="007055E7" w:rsidRDefault="007055E7" w:rsidP="009A2E94">
            <w:pPr>
              <w:spacing w:line="240" w:lineRule="auto"/>
              <w:jc w:val="both"/>
              <w:rPr>
                <w:rFonts w:ascii="Calibri" w:eastAsia="Times New Roman" w:hAnsi="Calibri" w:cs="Times New Roman"/>
                <w:color w:val="000000"/>
                <w:lang w:val="fr-CA"/>
              </w:rPr>
            </w:pPr>
            <w:bookmarkStart w:id="48" w:name="_GoBack"/>
            <w:bookmarkEnd w:id="48"/>
          </w:p>
          <w:p w14:paraId="399ED37E" w14:textId="77777777" w:rsidR="007055E7" w:rsidRDefault="007055E7" w:rsidP="007055E7">
            <w:pPr>
              <w:spacing w:line="240" w:lineRule="auto"/>
              <w:rPr>
                <w:rFonts w:ascii="Calibri" w:eastAsia="Times New Roman" w:hAnsi="Calibri" w:cs="Times New Roman"/>
                <w:color w:val="000000"/>
                <w:lang w:val="en-US"/>
              </w:rPr>
            </w:pPr>
            <w:r w:rsidRPr="00BA6BB5">
              <w:rPr>
                <w:rFonts w:ascii="Calibri" w:eastAsia="Times New Roman" w:hAnsi="Calibri" w:cs="Times New Roman"/>
                <w:color w:val="000000"/>
                <w:lang w:val="en-US"/>
              </w:rPr>
              <w:t xml:space="preserve">Future_ETD = </w:t>
            </w:r>
            <w:r w:rsidRPr="008C1C84">
              <w:rPr>
                <w:rFonts w:ascii="Calibri" w:eastAsia="Times New Roman" w:hAnsi="Calibri" w:cs="Times New Roman"/>
                <w:color w:val="000000"/>
                <w:lang w:val="en-US"/>
              </w:rPr>
              <w:t>84</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852</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160</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855</w:t>
            </w:r>
          </w:p>
          <w:p w14:paraId="1D2462C4" w14:textId="77777777" w:rsidR="007055E7" w:rsidRDefault="007055E7" w:rsidP="007055E7">
            <w:pPr>
              <w:spacing w:line="240" w:lineRule="auto"/>
              <w:rPr>
                <w:rFonts w:ascii="Calibri" w:eastAsia="Times New Roman" w:hAnsi="Calibri" w:cs="Times New Roman"/>
                <w:color w:val="000000"/>
                <w:lang w:val="en-US"/>
              </w:rPr>
            </w:pPr>
            <w:r w:rsidRPr="00BA6BB5">
              <w:rPr>
                <w:rFonts w:ascii="Calibri" w:eastAsia="Times New Roman" w:hAnsi="Calibri" w:cs="Times New Roman"/>
                <w:color w:val="000000"/>
                <w:lang w:val="en-US"/>
              </w:rPr>
              <w:t xml:space="preserve">Option_ETD = </w:t>
            </w:r>
            <w:r w:rsidRPr="008C1C84">
              <w:rPr>
                <w:rFonts w:ascii="Calibri" w:eastAsia="Times New Roman" w:hAnsi="Calibri" w:cs="Times New Roman"/>
                <w:color w:val="000000"/>
                <w:lang w:val="en-US"/>
              </w:rPr>
              <w:t>724</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678</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150</w:t>
            </w:r>
          </w:p>
          <w:p w14:paraId="17EDB273" w14:textId="77777777" w:rsidR="007055E7" w:rsidRDefault="007055E7" w:rsidP="007055E7">
            <w:pPr>
              <w:spacing w:line="240" w:lineRule="auto"/>
              <w:rPr>
                <w:rFonts w:ascii="Calibri" w:eastAsia="Times New Roman" w:hAnsi="Calibri" w:cs="Times New Roman"/>
                <w:color w:val="000000"/>
                <w:lang w:val="en-US"/>
              </w:rPr>
            </w:pPr>
            <w:r w:rsidRPr="00BA6BB5">
              <w:rPr>
                <w:rFonts w:ascii="Calibri" w:eastAsia="Times New Roman" w:hAnsi="Calibri" w:cs="Times New Roman"/>
                <w:color w:val="000000"/>
                <w:lang w:val="en-US"/>
              </w:rPr>
              <w:t xml:space="preserve">Options_OTC = </w:t>
            </w:r>
            <w:r w:rsidRPr="008C1C84">
              <w:rPr>
                <w:rFonts w:ascii="Calibri" w:eastAsia="Times New Roman" w:hAnsi="Calibri" w:cs="Times New Roman"/>
                <w:color w:val="000000"/>
                <w:lang w:val="en-US"/>
              </w:rPr>
              <w:t>3</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235</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100</w:t>
            </w:r>
          </w:p>
          <w:p w14:paraId="14E3B6ED" w14:textId="623D99D5" w:rsidR="007055E7" w:rsidRDefault="007055E7" w:rsidP="007055E7">
            <w:pPr>
              <w:spacing w:line="240" w:lineRule="auto"/>
              <w:rPr>
                <w:rFonts w:ascii="Calibri" w:eastAsia="Times New Roman" w:hAnsi="Calibri" w:cs="Times New Roman"/>
                <w:color w:val="000000"/>
                <w:lang w:val="en-US"/>
              </w:rPr>
            </w:pPr>
            <w:r w:rsidRPr="00BA6BB5">
              <w:rPr>
                <w:rFonts w:ascii="Calibri" w:eastAsia="Times New Roman" w:hAnsi="Calibri" w:cs="Times New Roman"/>
                <w:color w:val="000000"/>
                <w:lang w:val="en-US"/>
              </w:rPr>
              <w:t>FI_OTC =</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82</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474</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984</w:t>
            </w:r>
            <w:r>
              <w:rPr>
                <w:rFonts w:ascii="Calibri" w:eastAsia="Times New Roman" w:hAnsi="Calibri" w:cs="Times New Roman"/>
                <w:color w:val="000000"/>
                <w:lang w:val="en-US"/>
              </w:rPr>
              <w:t> </w:t>
            </w:r>
            <w:r w:rsidRPr="008C1C84">
              <w:rPr>
                <w:rFonts w:ascii="Calibri" w:eastAsia="Times New Roman" w:hAnsi="Calibri" w:cs="Times New Roman"/>
                <w:color w:val="000000"/>
                <w:lang w:val="en-US"/>
              </w:rPr>
              <w:t>074</w:t>
            </w:r>
          </w:p>
          <w:p w14:paraId="38A79804" w14:textId="47D54FA9" w:rsidR="007055E7" w:rsidRPr="001C0132" w:rsidRDefault="007055E7" w:rsidP="009A2E94">
            <w:pPr>
              <w:spacing w:line="240" w:lineRule="auto"/>
              <w:jc w:val="both"/>
              <w:rPr>
                <w:rFonts w:ascii="Calibri" w:eastAsia="Times New Roman" w:hAnsi="Calibri" w:cs="Times New Roman"/>
                <w:color w:val="000000"/>
                <w:lang w:val="fr-CA"/>
              </w:rPr>
            </w:pPr>
          </w:p>
        </w:tc>
      </w:tr>
    </w:tbl>
    <w:p w14:paraId="2C0CE4B1" w14:textId="77777777" w:rsidR="00BB54BE" w:rsidRPr="001C0132" w:rsidRDefault="00BB54BE" w:rsidP="00226D3D">
      <w:pPr>
        <w:rPr>
          <w:lang w:val="fr-CA"/>
        </w:rPr>
      </w:pPr>
    </w:p>
    <w:sectPr w:rsidR="00BB54BE" w:rsidRPr="001C0132" w:rsidSect="00226D3D">
      <w:headerReference w:type="default" r:id="rId9"/>
      <w:footerReference w:type="default" r:id="rId10"/>
      <w:pgSz w:w="12240" w:h="15840"/>
      <w:pgMar w:top="1298" w:right="1298" w:bottom="129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6E2D812B" w:rsidR="00496A3D" w:rsidRDefault="00781B4B" w:rsidP="002E70BE">
    <w:pPr>
      <w:pStyle w:val="Pieddepage"/>
      <w:tabs>
        <w:tab w:val="clear" w:pos="4320"/>
        <w:tab w:val="clear" w:pos="8640"/>
        <w:tab w:val="left" w:pos="90"/>
        <w:tab w:val="right" w:pos="9630"/>
      </w:tabs>
      <w:jc w:val="right"/>
    </w:pPr>
    <w:r>
      <w:t>T</w:t>
    </w:r>
    <w:r w:rsidR="00107127">
      <w:t>3</w:t>
    </w:r>
    <w:r w:rsidR="00431621">
      <w:t>-</w:t>
    </w:r>
    <w:r w:rsidR="00733B3F">
      <w:t>2022</w:t>
    </w:r>
    <w:r w:rsidR="00496A3D">
      <w:tab/>
      <w:t xml:space="preserve">Page </w:t>
    </w:r>
    <w:r w:rsidR="00496A3D">
      <w:fldChar w:fldCharType="begin"/>
    </w:r>
    <w:r w:rsidR="00496A3D">
      <w:instrText xml:space="preserve"> PAGE   \* MERGEFORMAT </w:instrText>
    </w:r>
    <w:r w:rsidR="00496A3D">
      <w:fldChar w:fldCharType="separate"/>
    </w:r>
    <w:r w:rsidR="007055E7">
      <w:rPr>
        <w:noProof/>
      </w:rPr>
      <w:t>5</w:t>
    </w:r>
    <w:r w:rsidR="00496A3D">
      <w:fldChar w:fldCharType="end"/>
    </w:r>
    <w:r w:rsidR="00496A3D">
      <w:t xml:space="preserve"> </w:t>
    </w:r>
    <w:r>
      <w:t>de</w:t>
    </w:r>
    <w:r w:rsidR="00496A3D">
      <w:t xml:space="preserve"> </w:t>
    </w:r>
    <w:r w:rsidR="00841C1C">
      <w:rPr>
        <w:noProof/>
      </w:rPr>
      <w:fldChar w:fldCharType="begin"/>
    </w:r>
    <w:r w:rsidR="00841C1C">
      <w:rPr>
        <w:noProof/>
      </w:rPr>
      <w:instrText xml:space="preserve"> NUMPAGES   \* MERGEFORMAT </w:instrText>
    </w:r>
    <w:r w:rsidR="00841C1C">
      <w:rPr>
        <w:noProof/>
      </w:rPr>
      <w:fldChar w:fldCharType="separate"/>
    </w:r>
    <w:r w:rsidR="007055E7">
      <w:rPr>
        <w:noProof/>
      </w:rPr>
      <w:t>6</w:t>
    </w:r>
    <w:r w:rsidR="00841C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733059F3" w:rsidR="00496A3D" w:rsidRDefault="00496A3D" w:rsidP="00B10158">
    <w:pPr>
      <w:pStyle w:val="En-tte"/>
      <w:tabs>
        <w:tab w:val="clear" w:pos="8640"/>
        <w:tab w:val="left" w:pos="3193"/>
        <w:tab w:val="left" w:pos="6735"/>
        <w:tab w:val="right" w:pos="9526"/>
      </w:tabs>
    </w:pPr>
    <w:r>
      <w:tab/>
    </w:r>
    <w:r>
      <w:tab/>
    </w:r>
    <w:r>
      <w:tab/>
    </w:r>
    <w:r>
      <w:tab/>
    </w:r>
    <w:r w:rsidR="00781B4B">
      <w:rPr>
        <w:noProof/>
        <w:lang w:val="fr-CA" w:eastAsia="fr-CA"/>
      </w:rPr>
      <w:drawing>
        <wp:inline distT="0" distB="0" distL="0" distR="0" wp14:anchorId="33DEBEAE" wp14:editId="50500CE9">
          <wp:extent cx="1024128" cy="475896"/>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4128" cy="475896"/>
                  </a:xfrm>
                  <a:prstGeom prst="rect">
                    <a:avLst/>
                  </a:prstGeom>
                </pic:spPr>
              </pic:pic>
            </a:graphicData>
          </a:graphic>
        </wp:inline>
      </w:drawing>
    </w:r>
  </w:p>
  <w:p w14:paraId="6D6A6E54" w14:textId="77777777" w:rsidR="00496A3D" w:rsidRDefault="00496A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epuces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epuces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0267F7"/>
    <w:multiLevelType w:val="multilevel"/>
    <w:tmpl w:val="492A460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0"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3"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
  </w:num>
  <w:num w:numId="4">
    <w:abstractNumId w:val="11"/>
  </w:num>
  <w:num w:numId="5">
    <w:abstractNumId w:val="2"/>
  </w:num>
  <w:num w:numId="6">
    <w:abstractNumId w:val="4"/>
  </w:num>
  <w:num w:numId="7">
    <w:abstractNumId w:val="15"/>
  </w:num>
  <w:num w:numId="8">
    <w:abstractNumId w:val="8"/>
  </w:num>
  <w:num w:numId="9">
    <w:abstractNumId w:val="11"/>
  </w:num>
  <w:num w:numId="10">
    <w:abstractNumId w:val="11"/>
  </w:num>
  <w:num w:numId="11">
    <w:abstractNumId w:val="0"/>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4"/>
  </w:num>
  <w:num w:numId="22">
    <w:abstractNumId w:val="6"/>
  </w:num>
  <w:num w:numId="23">
    <w:abstractNumId w:val="6"/>
  </w:num>
  <w:num w:numId="24">
    <w:abstractNumId w:val="2"/>
  </w:num>
  <w:num w:numId="25">
    <w:abstractNumId w:val="2"/>
  </w:num>
  <w:num w:numId="26">
    <w:abstractNumId w:val="2"/>
  </w:num>
  <w:num w:numId="27">
    <w:abstractNumId w:val="7"/>
  </w:num>
  <w:num w:numId="28">
    <w:abstractNumId w:val="5"/>
  </w:num>
  <w:num w:numId="29">
    <w:abstractNumId w:val="13"/>
  </w:num>
  <w:num w:numId="30">
    <w:abstractNumId w:val="9"/>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A" w:vendorID="64" w:dllVersion="131078" w:nlCheck="1" w:checkStyle="0"/>
  <w:activeWritingStyle w:appName="MSWord" w:lang="en-CA" w:vendorID="64" w:dllVersion="131078" w:nlCheck="1" w:checkStyle="0"/>
  <w:activeWritingStyle w:appName="MSWord" w:lang="en-US" w:vendorID="64" w:dllVersion="131078" w:nlCheck="1" w:checkStyle="1"/>
  <w:activeWritingStyle w:appName="MSWord" w:lang="fr-FR" w:vendorID="64" w:dllVersion="131078" w:nlCheck="1" w:checkStyle="0"/>
  <w:defaultTabStop w:val="720"/>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8D9"/>
    <w:rsid w:val="00002B53"/>
    <w:rsid w:val="00010F56"/>
    <w:rsid w:val="00011745"/>
    <w:rsid w:val="000205C2"/>
    <w:rsid w:val="00022521"/>
    <w:rsid w:val="000269E1"/>
    <w:rsid w:val="00034301"/>
    <w:rsid w:val="00034733"/>
    <w:rsid w:val="000353F7"/>
    <w:rsid w:val="00047D2D"/>
    <w:rsid w:val="00051408"/>
    <w:rsid w:val="00055E80"/>
    <w:rsid w:val="00056DD2"/>
    <w:rsid w:val="00057B0B"/>
    <w:rsid w:val="00057E51"/>
    <w:rsid w:val="00061109"/>
    <w:rsid w:val="000620A1"/>
    <w:rsid w:val="0006314A"/>
    <w:rsid w:val="00064A63"/>
    <w:rsid w:val="0006739F"/>
    <w:rsid w:val="00067A06"/>
    <w:rsid w:val="00067C1A"/>
    <w:rsid w:val="00070D97"/>
    <w:rsid w:val="000714EE"/>
    <w:rsid w:val="000722DA"/>
    <w:rsid w:val="000736AB"/>
    <w:rsid w:val="000737E3"/>
    <w:rsid w:val="00074806"/>
    <w:rsid w:val="00077AD4"/>
    <w:rsid w:val="000846E8"/>
    <w:rsid w:val="000868A8"/>
    <w:rsid w:val="0009053E"/>
    <w:rsid w:val="00092335"/>
    <w:rsid w:val="000937EA"/>
    <w:rsid w:val="00093AFD"/>
    <w:rsid w:val="000A42A9"/>
    <w:rsid w:val="000A46B4"/>
    <w:rsid w:val="000A5A2B"/>
    <w:rsid w:val="000B06CA"/>
    <w:rsid w:val="000B0F37"/>
    <w:rsid w:val="000B3446"/>
    <w:rsid w:val="000B67D9"/>
    <w:rsid w:val="000B7E81"/>
    <w:rsid w:val="000D2DF4"/>
    <w:rsid w:val="000D3257"/>
    <w:rsid w:val="000D631F"/>
    <w:rsid w:val="000D7AD0"/>
    <w:rsid w:val="000E09C6"/>
    <w:rsid w:val="000E1ECA"/>
    <w:rsid w:val="000E2886"/>
    <w:rsid w:val="000E3695"/>
    <w:rsid w:val="000E41CF"/>
    <w:rsid w:val="000F24BD"/>
    <w:rsid w:val="00107127"/>
    <w:rsid w:val="00112157"/>
    <w:rsid w:val="00113000"/>
    <w:rsid w:val="0012192B"/>
    <w:rsid w:val="00122D57"/>
    <w:rsid w:val="00123811"/>
    <w:rsid w:val="00124574"/>
    <w:rsid w:val="00124AA5"/>
    <w:rsid w:val="00124C4E"/>
    <w:rsid w:val="00126E3B"/>
    <w:rsid w:val="00132973"/>
    <w:rsid w:val="00133626"/>
    <w:rsid w:val="00133BF1"/>
    <w:rsid w:val="001344A7"/>
    <w:rsid w:val="0013580C"/>
    <w:rsid w:val="001371B3"/>
    <w:rsid w:val="00141FA6"/>
    <w:rsid w:val="001439BB"/>
    <w:rsid w:val="00143C13"/>
    <w:rsid w:val="00147390"/>
    <w:rsid w:val="00151A6D"/>
    <w:rsid w:val="00151EBA"/>
    <w:rsid w:val="00152322"/>
    <w:rsid w:val="00154B8B"/>
    <w:rsid w:val="00160A19"/>
    <w:rsid w:val="00161946"/>
    <w:rsid w:val="001629D1"/>
    <w:rsid w:val="001641B4"/>
    <w:rsid w:val="00167CD9"/>
    <w:rsid w:val="0017093C"/>
    <w:rsid w:val="001756D9"/>
    <w:rsid w:val="00175A71"/>
    <w:rsid w:val="00185299"/>
    <w:rsid w:val="00185973"/>
    <w:rsid w:val="001864C6"/>
    <w:rsid w:val="00194248"/>
    <w:rsid w:val="001968D5"/>
    <w:rsid w:val="00197386"/>
    <w:rsid w:val="001A6034"/>
    <w:rsid w:val="001A7E0A"/>
    <w:rsid w:val="001B026B"/>
    <w:rsid w:val="001B0831"/>
    <w:rsid w:val="001B27E0"/>
    <w:rsid w:val="001B2A2E"/>
    <w:rsid w:val="001B2AB5"/>
    <w:rsid w:val="001C4DB2"/>
    <w:rsid w:val="001C5FE5"/>
    <w:rsid w:val="001D04D8"/>
    <w:rsid w:val="001D1C06"/>
    <w:rsid w:val="001D2129"/>
    <w:rsid w:val="001D5D9C"/>
    <w:rsid w:val="001E154C"/>
    <w:rsid w:val="001E1D3B"/>
    <w:rsid w:val="001E3EC6"/>
    <w:rsid w:val="001E59BE"/>
    <w:rsid w:val="001E5FE7"/>
    <w:rsid w:val="001E7014"/>
    <w:rsid w:val="00206511"/>
    <w:rsid w:val="002076ED"/>
    <w:rsid w:val="00210096"/>
    <w:rsid w:val="002103D9"/>
    <w:rsid w:val="00211175"/>
    <w:rsid w:val="0021179B"/>
    <w:rsid w:val="002124DC"/>
    <w:rsid w:val="0021491F"/>
    <w:rsid w:val="0021572F"/>
    <w:rsid w:val="00216D41"/>
    <w:rsid w:val="00216F2B"/>
    <w:rsid w:val="0021784E"/>
    <w:rsid w:val="00226373"/>
    <w:rsid w:val="00226740"/>
    <w:rsid w:val="00226D3D"/>
    <w:rsid w:val="00226D8C"/>
    <w:rsid w:val="00230E61"/>
    <w:rsid w:val="00235225"/>
    <w:rsid w:val="002407B8"/>
    <w:rsid w:val="00240B95"/>
    <w:rsid w:val="0024107F"/>
    <w:rsid w:val="002439F6"/>
    <w:rsid w:val="00244024"/>
    <w:rsid w:val="00256E68"/>
    <w:rsid w:val="00257DC1"/>
    <w:rsid w:val="002605FB"/>
    <w:rsid w:val="002614BC"/>
    <w:rsid w:val="002620C4"/>
    <w:rsid w:val="002643E3"/>
    <w:rsid w:val="00270780"/>
    <w:rsid w:val="00273610"/>
    <w:rsid w:val="00273DB0"/>
    <w:rsid w:val="00280245"/>
    <w:rsid w:val="00280F56"/>
    <w:rsid w:val="00282DBD"/>
    <w:rsid w:val="00290659"/>
    <w:rsid w:val="002908E8"/>
    <w:rsid w:val="00294C1D"/>
    <w:rsid w:val="002B240F"/>
    <w:rsid w:val="002B33F5"/>
    <w:rsid w:val="002B7925"/>
    <w:rsid w:val="002C2651"/>
    <w:rsid w:val="002C6728"/>
    <w:rsid w:val="002D5515"/>
    <w:rsid w:val="002E14E9"/>
    <w:rsid w:val="002E3241"/>
    <w:rsid w:val="002E4F75"/>
    <w:rsid w:val="002E7006"/>
    <w:rsid w:val="002E70BE"/>
    <w:rsid w:val="002F2A59"/>
    <w:rsid w:val="003040CB"/>
    <w:rsid w:val="00304A0F"/>
    <w:rsid w:val="00311311"/>
    <w:rsid w:val="00312BE0"/>
    <w:rsid w:val="003147A2"/>
    <w:rsid w:val="003155D9"/>
    <w:rsid w:val="00316697"/>
    <w:rsid w:val="0032092A"/>
    <w:rsid w:val="00321F6E"/>
    <w:rsid w:val="00324F61"/>
    <w:rsid w:val="003252BB"/>
    <w:rsid w:val="00325C4F"/>
    <w:rsid w:val="00330AE7"/>
    <w:rsid w:val="00330C02"/>
    <w:rsid w:val="00342327"/>
    <w:rsid w:val="003459DA"/>
    <w:rsid w:val="003471BB"/>
    <w:rsid w:val="00350B7F"/>
    <w:rsid w:val="003554F8"/>
    <w:rsid w:val="0036504F"/>
    <w:rsid w:val="00371B6F"/>
    <w:rsid w:val="003745AE"/>
    <w:rsid w:val="00374BBD"/>
    <w:rsid w:val="00380D3A"/>
    <w:rsid w:val="0038148C"/>
    <w:rsid w:val="003826D1"/>
    <w:rsid w:val="00385B41"/>
    <w:rsid w:val="00391703"/>
    <w:rsid w:val="003A04C1"/>
    <w:rsid w:val="003A1F71"/>
    <w:rsid w:val="003A2FC6"/>
    <w:rsid w:val="003A4B7D"/>
    <w:rsid w:val="003A67B0"/>
    <w:rsid w:val="003B68D9"/>
    <w:rsid w:val="003B7EBA"/>
    <w:rsid w:val="003C18CD"/>
    <w:rsid w:val="003C18E3"/>
    <w:rsid w:val="003C4FD1"/>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B30"/>
    <w:rsid w:val="0042109B"/>
    <w:rsid w:val="004220B1"/>
    <w:rsid w:val="00425D2E"/>
    <w:rsid w:val="00427097"/>
    <w:rsid w:val="0042722F"/>
    <w:rsid w:val="0043017F"/>
    <w:rsid w:val="00431621"/>
    <w:rsid w:val="00432E1D"/>
    <w:rsid w:val="00433554"/>
    <w:rsid w:val="0043372D"/>
    <w:rsid w:val="00434844"/>
    <w:rsid w:val="004425A8"/>
    <w:rsid w:val="00443785"/>
    <w:rsid w:val="00443E04"/>
    <w:rsid w:val="0044504E"/>
    <w:rsid w:val="00451554"/>
    <w:rsid w:val="00452C3F"/>
    <w:rsid w:val="00452DED"/>
    <w:rsid w:val="0045460B"/>
    <w:rsid w:val="00461889"/>
    <w:rsid w:val="004630AE"/>
    <w:rsid w:val="00465D56"/>
    <w:rsid w:val="00470FAD"/>
    <w:rsid w:val="004818CA"/>
    <w:rsid w:val="00481960"/>
    <w:rsid w:val="00484643"/>
    <w:rsid w:val="00484C61"/>
    <w:rsid w:val="00494FD1"/>
    <w:rsid w:val="00495933"/>
    <w:rsid w:val="00496A3D"/>
    <w:rsid w:val="004A3596"/>
    <w:rsid w:val="004A36DC"/>
    <w:rsid w:val="004A3CAC"/>
    <w:rsid w:val="004A6C4F"/>
    <w:rsid w:val="004A778F"/>
    <w:rsid w:val="004B020F"/>
    <w:rsid w:val="004B67D8"/>
    <w:rsid w:val="004C0424"/>
    <w:rsid w:val="004C2E77"/>
    <w:rsid w:val="004C3D02"/>
    <w:rsid w:val="004C5E37"/>
    <w:rsid w:val="004C697E"/>
    <w:rsid w:val="004C6DC3"/>
    <w:rsid w:val="004C7F24"/>
    <w:rsid w:val="004D2215"/>
    <w:rsid w:val="004D26B0"/>
    <w:rsid w:val="004D3051"/>
    <w:rsid w:val="004E0A91"/>
    <w:rsid w:val="004E210C"/>
    <w:rsid w:val="004E2D73"/>
    <w:rsid w:val="004E604E"/>
    <w:rsid w:val="004F3D5F"/>
    <w:rsid w:val="004F43DB"/>
    <w:rsid w:val="004F512C"/>
    <w:rsid w:val="004F5C59"/>
    <w:rsid w:val="00500CFC"/>
    <w:rsid w:val="00501384"/>
    <w:rsid w:val="00502930"/>
    <w:rsid w:val="005029D8"/>
    <w:rsid w:val="00502F82"/>
    <w:rsid w:val="005038AA"/>
    <w:rsid w:val="00505800"/>
    <w:rsid w:val="0050661D"/>
    <w:rsid w:val="00514243"/>
    <w:rsid w:val="00523D76"/>
    <w:rsid w:val="00530E57"/>
    <w:rsid w:val="00531D4E"/>
    <w:rsid w:val="00533713"/>
    <w:rsid w:val="00537BD6"/>
    <w:rsid w:val="00541B07"/>
    <w:rsid w:val="005433B1"/>
    <w:rsid w:val="00543CB6"/>
    <w:rsid w:val="0054499D"/>
    <w:rsid w:val="00544A85"/>
    <w:rsid w:val="0054608F"/>
    <w:rsid w:val="00547B21"/>
    <w:rsid w:val="005522D0"/>
    <w:rsid w:val="00552316"/>
    <w:rsid w:val="00556673"/>
    <w:rsid w:val="00561C1A"/>
    <w:rsid w:val="0056389C"/>
    <w:rsid w:val="00563A01"/>
    <w:rsid w:val="0056448F"/>
    <w:rsid w:val="00564BB3"/>
    <w:rsid w:val="00564D59"/>
    <w:rsid w:val="00566543"/>
    <w:rsid w:val="00566E3C"/>
    <w:rsid w:val="00567676"/>
    <w:rsid w:val="0057016E"/>
    <w:rsid w:val="00571815"/>
    <w:rsid w:val="005810BC"/>
    <w:rsid w:val="00584323"/>
    <w:rsid w:val="00586571"/>
    <w:rsid w:val="00595688"/>
    <w:rsid w:val="005A52A1"/>
    <w:rsid w:val="005A5F1A"/>
    <w:rsid w:val="005B1FCB"/>
    <w:rsid w:val="005B2DF9"/>
    <w:rsid w:val="005B7332"/>
    <w:rsid w:val="005C01F4"/>
    <w:rsid w:val="005C1931"/>
    <w:rsid w:val="005C309E"/>
    <w:rsid w:val="005C5549"/>
    <w:rsid w:val="005D0753"/>
    <w:rsid w:val="005E06BF"/>
    <w:rsid w:val="005E48C9"/>
    <w:rsid w:val="005E4DE8"/>
    <w:rsid w:val="005F0163"/>
    <w:rsid w:val="005F2182"/>
    <w:rsid w:val="00605519"/>
    <w:rsid w:val="0061309E"/>
    <w:rsid w:val="00614C1B"/>
    <w:rsid w:val="00614EAD"/>
    <w:rsid w:val="00617727"/>
    <w:rsid w:val="00624D18"/>
    <w:rsid w:val="00631704"/>
    <w:rsid w:val="00633D2D"/>
    <w:rsid w:val="00634B40"/>
    <w:rsid w:val="006353B7"/>
    <w:rsid w:val="006361EB"/>
    <w:rsid w:val="00642CF7"/>
    <w:rsid w:val="00645F51"/>
    <w:rsid w:val="00651EAA"/>
    <w:rsid w:val="006551DC"/>
    <w:rsid w:val="00657D97"/>
    <w:rsid w:val="00663FB4"/>
    <w:rsid w:val="0066641A"/>
    <w:rsid w:val="006725FB"/>
    <w:rsid w:val="00673AE3"/>
    <w:rsid w:val="006741D2"/>
    <w:rsid w:val="00675EF3"/>
    <w:rsid w:val="00681602"/>
    <w:rsid w:val="00684D22"/>
    <w:rsid w:val="006857DC"/>
    <w:rsid w:val="00691654"/>
    <w:rsid w:val="00692A97"/>
    <w:rsid w:val="00693481"/>
    <w:rsid w:val="00697D23"/>
    <w:rsid w:val="006B7537"/>
    <w:rsid w:val="006C3A59"/>
    <w:rsid w:val="006C4435"/>
    <w:rsid w:val="006C71E6"/>
    <w:rsid w:val="006D3024"/>
    <w:rsid w:val="006D31C9"/>
    <w:rsid w:val="006D41B6"/>
    <w:rsid w:val="006E1718"/>
    <w:rsid w:val="006E2A12"/>
    <w:rsid w:val="006E55EC"/>
    <w:rsid w:val="006F0752"/>
    <w:rsid w:val="006F483A"/>
    <w:rsid w:val="006F4A42"/>
    <w:rsid w:val="00703E5A"/>
    <w:rsid w:val="00703E60"/>
    <w:rsid w:val="007055E7"/>
    <w:rsid w:val="00706ECD"/>
    <w:rsid w:val="00707D0E"/>
    <w:rsid w:val="00710074"/>
    <w:rsid w:val="007122EF"/>
    <w:rsid w:val="00712761"/>
    <w:rsid w:val="00713DE8"/>
    <w:rsid w:val="0072498C"/>
    <w:rsid w:val="00726BE2"/>
    <w:rsid w:val="0072712C"/>
    <w:rsid w:val="00732088"/>
    <w:rsid w:val="0073254C"/>
    <w:rsid w:val="00733B3F"/>
    <w:rsid w:val="00734DE6"/>
    <w:rsid w:val="007363BC"/>
    <w:rsid w:val="007366AE"/>
    <w:rsid w:val="007424A2"/>
    <w:rsid w:val="007443FD"/>
    <w:rsid w:val="00744D9B"/>
    <w:rsid w:val="007543E1"/>
    <w:rsid w:val="00755527"/>
    <w:rsid w:val="00755653"/>
    <w:rsid w:val="007566F6"/>
    <w:rsid w:val="00761C22"/>
    <w:rsid w:val="00761CED"/>
    <w:rsid w:val="00763E20"/>
    <w:rsid w:val="00781B4B"/>
    <w:rsid w:val="00782818"/>
    <w:rsid w:val="007904B2"/>
    <w:rsid w:val="0079618E"/>
    <w:rsid w:val="007A2B91"/>
    <w:rsid w:val="007A325E"/>
    <w:rsid w:val="007A41CF"/>
    <w:rsid w:val="007A5666"/>
    <w:rsid w:val="007A5DD5"/>
    <w:rsid w:val="007A7D33"/>
    <w:rsid w:val="007B0D54"/>
    <w:rsid w:val="007B0D78"/>
    <w:rsid w:val="007B5F4E"/>
    <w:rsid w:val="007B7699"/>
    <w:rsid w:val="007B7E0D"/>
    <w:rsid w:val="007C16CF"/>
    <w:rsid w:val="007C1AC5"/>
    <w:rsid w:val="007C5261"/>
    <w:rsid w:val="007C7849"/>
    <w:rsid w:val="007D1773"/>
    <w:rsid w:val="007E43D3"/>
    <w:rsid w:val="007E5369"/>
    <w:rsid w:val="007E59AA"/>
    <w:rsid w:val="007E5DCA"/>
    <w:rsid w:val="007E75DF"/>
    <w:rsid w:val="007F168A"/>
    <w:rsid w:val="007F42AF"/>
    <w:rsid w:val="007F4553"/>
    <w:rsid w:val="007F7CBF"/>
    <w:rsid w:val="00800ADF"/>
    <w:rsid w:val="00802465"/>
    <w:rsid w:val="00804192"/>
    <w:rsid w:val="0080568B"/>
    <w:rsid w:val="008257D0"/>
    <w:rsid w:val="0083292B"/>
    <w:rsid w:val="0084160C"/>
    <w:rsid w:val="00841C1C"/>
    <w:rsid w:val="00842C57"/>
    <w:rsid w:val="00850DC8"/>
    <w:rsid w:val="00854DB5"/>
    <w:rsid w:val="00860CCA"/>
    <w:rsid w:val="008612DA"/>
    <w:rsid w:val="00861E27"/>
    <w:rsid w:val="008648B9"/>
    <w:rsid w:val="008651BB"/>
    <w:rsid w:val="00865E12"/>
    <w:rsid w:val="00884257"/>
    <w:rsid w:val="00887B7E"/>
    <w:rsid w:val="00894CD4"/>
    <w:rsid w:val="00897D7A"/>
    <w:rsid w:val="00897DAC"/>
    <w:rsid w:val="008A1CF3"/>
    <w:rsid w:val="008A4343"/>
    <w:rsid w:val="008A4451"/>
    <w:rsid w:val="008A5A8D"/>
    <w:rsid w:val="008A6F01"/>
    <w:rsid w:val="008A7924"/>
    <w:rsid w:val="008B14AD"/>
    <w:rsid w:val="008B3BBC"/>
    <w:rsid w:val="008B5B9B"/>
    <w:rsid w:val="008C0566"/>
    <w:rsid w:val="008C2D1B"/>
    <w:rsid w:val="008C57A6"/>
    <w:rsid w:val="008C6BC6"/>
    <w:rsid w:val="008D3CEF"/>
    <w:rsid w:val="008D7899"/>
    <w:rsid w:val="008F2184"/>
    <w:rsid w:val="008F4244"/>
    <w:rsid w:val="008F78D7"/>
    <w:rsid w:val="008F7D36"/>
    <w:rsid w:val="00900449"/>
    <w:rsid w:val="00902FD3"/>
    <w:rsid w:val="00910356"/>
    <w:rsid w:val="00912798"/>
    <w:rsid w:val="009133FE"/>
    <w:rsid w:val="0091438E"/>
    <w:rsid w:val="009232FB"/>
    <w:rsid w:val="009245B3"/>
    <w:rsid w:val="0092787A"/>
    <w:rsid w:val="00940F82"/>
    <w:rsid w:val="00943736"/>
    <w:rsid w:val="0094508E"/>
    <w:rsid w:val="00945493"/>
    <w:rsid w:val="0095501F"/>
    <w:rsid w:val="009571A4"/>
    <w:rsid w:val="009577B8"/>
    <w:rsid w:val="0096439F"/>
    <w:rsid w:val="0096668B"/>
    <w:rsid w:val="0096778A"/>
    <w:rsid w:val="00967820"/>
    <w:rsid w:val="00973113"/>
    <w:rsid w:val="00986108"/>
    <w:rsid w:val="00986E33"/>
    <w:rsid w:val="00994E85"/>
    <w:rsid w:val="00995C65"/>
    <w:rsid w:val="00995DB1"/>
    <w:rsid w:val="00997A7C"/>
    <w:rsid w:val="009A2412"/>
    <w:rsid w:val="009A2E94"/>
    <w:rsid w:val="009A70F8"/>
    <w:rsid w:val="009B08FA"/>
    <w:rsid w:val="009B1DD4"/>
    <w:rsid w:val="009B227F"/>
    <w:rsid w:val="009B2322"/>
    <w:rsid w:val="009B3332"/>
    <w:rsid w:val="009B4C30"/>
    <w:rsid w:val="009C43D4"/>
    <w:rsid w:val="009C5A2D"/>
    <w:rsid w:val="009D3F4B"/>
    <w:rsid w:val="009D4132"/>
    <w:rsid w:val="009D4506"/>
    <w:rsid w:val="009D6052"/>
    <w:rsid w:val="009E7F52"/>
    <w:rsid w:val="009F2987"/>
    <w:rsid w:val="009F34F6"/>
    <w:rsid w:val="00A02B21"/>
    <w:rsid w:val="00A02DD5"/>
    <w:rsid w:val="00A05BF8"/>
    <w:rsid w:val="00A13D85"/>
    <w:rsid w:val="00A14E65"/>
    <w:rsid w:val="00A15CAA"/>
    <w:rsid w:val="00A16DCE"/>
    <w:rsid w:val="00A1731F"/>
    <w:rsid w:val="00A17653"/>
    <w:rsid w:val="00A204C1"/>
    <w:rsid w:val="00A20BF6"/>
    <w:rsid w:val="00A2315D"/>
    <w:rsid w:val="00A241EA"/>
    <w:rsid w:val="00A2503E"/>
    <w:rsid w:val="00A257EF"/>
    <w:rsid w:val="00A31AE7"/>
    <w:rsid w:val="00A3534A"/>
    <w:rsid w:val="00A37FB8"/>
    <w:rsid w:val="00A430B6"/>
    <w:rsid w:val="00A44859"/>
    <w:rsid w:val="00A45F4C"/>
    <w:rsid w:val="00A46443"/>
    <w:rsid w:val="00A57A11"/>
    <w:rsid w:val="00A63424"/>
    <w:rsid w:val="00A63C33"/>
    <w:rsid w:val="00A6480E"/>
    <w:rsid w:val="00A6489B"/>
    <w:rsid w:val="00A71953"/>
    <w:rsid w:val="00A71F9F"/>
    <w:rsid w:val="00A75B16"/>
    <w:rsid w:val="00A75F6B"/>
    <w:rsid w:val="00A76A95"/>
    <w:rsid w:val="00A808B5"/>
    <w:rsid w:val="00A918D6"/>
    <w:rsid w:val="00A938AA"/>
    <w:rsid w:val="00AA47CD"/>
    <w:rsid w:val="00AB088E"/>
    <w:rsid w:val="00AB300C"/>
    <w:rsid w:val="00AB47F1"/>
    <w:rsid w:val="00AB5B2E"/>
    <w:rsid w:val="00AB7221"/>
    <w:rsid w:val="00AB7A84"/>
    <w:rsid w:val="00AB7E46"/>
    <w:rsid w:val="00AC3F53"/>
    <w:rsid w:val="00AC5604"/>
    <w:rsid w:val="00AC5AE2"/>
    <w:rsid w:val="00AC6234"/>
    <w:rsid w:val="00AD16BE"/>
    <w:rsid w:val="00AD3501"/>
    <w:rsid w:val="00AD4FED"/>
    <w:rsid w:val="00AE31A6"/>
    <w:rsid w:val="00AE5DAD"/>
    <w:rsid w:val="00AE6C3D"/>
    <w:rsid w:val="00AF1D7D"/>
    <w:rsid w:val="00AF5126"/>
    <w:rsid w:val="00AF5DF3"/>
    <w:rsid w:val="00AF6CE4"/>
    <w:rsid w:val="00B011F0"/>
    <w:rsid w:val="00B049A5"/>
    <w:rsid w:val="00B04FF1"/>
    <w:rsid w:val="00B07D98"/>
    <w:rsid w:val="00B10158"/>
    <w:rsid w:val="00B1025C"/>
    <w:rsid w:val="00B10C85"/>
    <w:rsid w:val="00B15A64"/>
    <w:rsid w:val="00B22769"/>
    <w:rsid w:val="00B25528"/>
    <w:rsid w:val="00B25E2B"/>
    <w:rsid w:val="00B27B3B"/>
    <w:rsid w:val="00B30D34"/>
    <w:rsid w:val="00B320B9"/>
    <w:rsid w:val="00B32233"/>
    <w:rsid w:val="00B32354"/>
    <w:rsid w:val="00B32F41"/>
    <w:rsid w:val="00B36D1F"/>
    <w:rsid w:val="00B406B8"/>
    <w:rsid w:val="00B4113D"/>
    <w:rsid w:val="00B413E4"/>
    <w:rsid w:val="00B43A9B"/>
    <w:rsid w:val="00B45201"/>
    <w:rsid w:val="00B50AF8"/>
    <w:rsid w:val="00B526BC"/>
    <w:rsid w:val="00B54788"/>
    <w:rsid w:val="00B57F8B"/>
    <w:rsid w:val="00B61F2E"/>
    <w:rsid w:val="00B62450"/>
    <w:rsid w:val="00B62BD1"/>
    <w:rsid w:val="00B63909"/>
    <w:rsid w:val="00B63C6E"/>
    <w:rsid w:val="00B67F1C"/>
    <w:rsid w:val="00B70F95"/>
    <w:rsid w:val="00B7159C"/>
    <w:rsid w:val="00B72ED4"/>
    <w:rsid w:val="00B745C5"/>
    <w:rsid w:val="00B814EB"/>
    <w:rsid w:val="00B83A55"/>
    <w:rsid w:val="00B83FD0"/>
    <w:rsid w:val="00B9296C"/>
    <w:rsid w:val="00B93ED9"/>
    <w:rsid w:val="00B96436"/>
    <w:rsid w:val="00BA50A8"/>
    <w:rsid w:val="00BA6B90"/>
    <w:rsid w:val="00BA7F3F"/>
    <w:rsid w:val="00BB0726"/>
    <w:rsid w:val="00BB5024"/>
    <w:rsid w:val="00BB54BE"/>
    <w:rsid w:val="00BC048F"/>
    <w:rsid w:val="00BC581A"/>
    <w:rsid w:val="00BD1061"/>
    <w:rsid w:val="00BD32D2"/>
    <w:rsid w:val="00BD53BC"/>
    <w:rsid w:val="00BD67E3"/>
    <w:rsid w:val="00BD6924"/>
    <w:rsid w:val="00BD6F6C"/>
    <w:rsid w:val="00BE429C"/>
    <w:rsid w:val="00BF1E93"/>
    <w:rsid w:val="00BF2F44"/>
    <w:rsid w:val="00BF4F93"/>
    <w:rsid w:val="00C02F3B"/>
    <w:rsid w:val="00C04F9D"/>
    <w:rsid w:val="00C06B9E"/>
    <w:rsid w:val="00C136E1"/>
    <w:rsid w:val="00C17B18"/>
    <w:rsid w:val="00C22D41"/>
    <w:rsid w:val="00C248C2"/>
    <w:rsid w:val="00C33E49"/>
    <w:rsid w:val="00C37A9A"/>
    <w:rsid w:val="00C41FE2"/>
    <w:rsid w:val="00C436E4"/>
    <w:rsid w:val="00C43E2A"/>
    <w:rsid w:val="00C44E99"/>
    <w:rsid w:val="00C46C0E"/>
    <w:rsid w:val="00C50772"/>
    <w:rsid w:val="00C510F0"/>
    <w:rsid w:val="00C5282A"/>
    <w:rsid w:val="00C60A96"/>
    <w:rsid w:val="00C60EAA"/>
    <w:rsid w:val="00C62DE0"/>
    <w:rsid w:val="00C66DF9"/>
    <w:rsid w:val="00C723A4"/>
    <w:rsid w:val="00C73C2E"/>
    <w:rsid w:val="00C818C1"/>
    <w:rsid w:val="00C8223A"/>
    <w:rsid w:val="00C919E4"/>
    <w:rsid w:val="00C9236C"/>
    <w:rsid w:val="00C92937"/>
    <w:rsid w:val="00C93FA9"/>
    <w:rsid w:val="00C97437"/>
    <w:rsid w:val="00C97C8E"/>
    <w:rsid w:val="00CA0E6A"/>
    <w:rsid w:val="00CA256F"/>
    <w:rsid w:val="00CA25F6"/>
    <w:rsid w:val="00CB01FC"/>
    <w:rsid w:val="00CB2EF1"/>
    <w:rsid w:val="00CB4A7B"/>
    <w:rsid w:val="00CB5D0D"/>
    <w:rsid w:val="00CC5B4E"/>
    <w:rsid w:val="00CC666C"/>
    <w:rsid w:val="00CC7F9E"/>
    <w:rsid w:val="00CD1A26"/>
    <w:rsid w:val="00CD3675"/>
    <w:rsid w:val="00CD3A53"/>
    <w:rsid w:val="00CE3375"/>
    <w:rsid w:val="00CE373D"/>
    <w:rsid w:val="00CE3ECD"/>
    <w:rsid w:val="00CF17B3"/>
    <w:rsid w:val="00CF3C33"/>
    <w:rsid w:val="00CF41D4"/>
    <w:rsid w:val="00CF4416"/>
    <w:rsid w:val="00D04426"/>
    <w:rsid w:val="00D10445"/>
    <w:rsid w:val="00D1168A"/>
    <w:rsid w:val="00D127FF"/>
    <w:rsid w:val="00D239BF"/>
    <w:rsid w:val="00D24670"/>
    <w:rsid w:val="00D32268"/>
    <w:rsid w:val="00D41995"/>
    <w:rsid w:val="00D43E83"/>
    <w:rsid w:val="00D446E2"/>
    <w:rsid w:val="00D46807"/>
    <w:rsid w:val="00D47A78"/>
    <w:rsid w:val="00D51928"/>
    <w:rsid w:val="00D53B4E"/>
    <w:rsid w:val="00D61E1A"/>
    <w:rsid w:val="00D63953"/>
    <w:rsid w:val="00D669A2"/>
    <w:rsid w:val="00D7408B"/>
    <w:rsid w:val="00D77ECC"/>
    <w:rsid w:val="00D77F04"/>
    <w:rsid w:val="00D81F7E"/>
    <w:rsid w:val="00D82307"/>
    <w:rsid w:val="00D82858"/>
    <w:rsid w:val="00D82D51"/>
    <w:rsid w:val="00D84CEC"/>
    <w:rsid w:val="00D84D14"/>
    <w:rsid w:val="00D867A6"/>
    <w:rsid w:val="00D91938"/>
    <w:rsid w:val="00D92016"/>
    <w:rsid w:val="00DA3A41"/>
    <w:rsid w:val="00DA4D66"/>
    <w:rsid w:val="00DA4F57"/>
    <w:rsid w:val="00DA635D"/>
    <w:rsid w:val="00DA710E"/>
    <w:rsid w:val="00DB0AE4"/>
    <w:rsid w:val="00DB54E8"/>
    <w:rsid w:val="00DC3C8D"/>
    <w:rsid w:val="00DD1046"/>
    <w:rsid w:val="00DD546E"/>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3D4C"/>
    <w:rsid w:val="00E20665"/>
    <w:rsid w:val="00E24985"/>
    <w:rsid w:val="00E300C8"/>
    <w:rsid w:val="00E31F4F"/>
    <w:rsid w:val="00E330E8"/>
    <w:rsid w:val="00E34199"/>
    <w:rsid w:val="00E406A0"/>
    <w:rsid w:val="00E40AD7"/>
    <w:rsid w:val="00E4131F"/>
    <w:rsid w:val="00E41C64"/>
    <w:rsid w:val="00E46EE4"/>
    <w:rsid w:val="00E5189B"/>
    <w:rsid w:val="00E565CB"/>
    <w:rsid w:val="00E651F9"/>
    <w:rsid w:val="00E65E2A"/>
    <w:rsid w:val="00E66E0A"/>
    <w:rsid w:val="00E7092F"/>
    <w:rsid w:val="00E7099F"/>
    <w:rsid w:val="00E71653"/>
    <w:rsid w:val="00E73958"/>
    <w:rsid w:val="00E73DF1"/>
    <w:rsid w:val="00E75BC7"/>
    <w:rsid w:val="00E77511"/>
    <w:rsid w:val="00E77D29"/>
    <w:rsid w:val="00E83075"/>
    <w:rsid w:val="00E833B5"/>
    <w:rsid w:val="00E83E39"/>
    <w:rsid w:val="00E84D35"/>
    <w:rsid w:val="00E86595"/>
    <w:rsid w:val="00E86DD8"/>
    <w:rsid w:val="00EA37DC"/>
    <w:rsid w:val="00EB139A"/>
    <w:rsid w:val="00ED0521"/>
    <w:rsid w:val="00ED081B"/>
    <w:rsid w:val="00ED0E92"/>
    <w:rsid w:val="00ED32D5"/>
    <w:rsid w:val="00ED47E4"/>
    <w:rsid w:val="00ED6ACA"/>
    <w:rsid w:val="00EE01D0"/>
    <w:rsid w:val="00EE23DB"/>
    <w:rsid w:val="00EE2DA3"/>
    <w:rsid w:val="00EE4CE5"/>
    <w:rsid w:val="00EE5E9C"/>
    <w:rsid w:val="00EF1C25"/>
    <w:rsid w:val="00EF253D"/>
    <w:rsid w:val="00EF4814"/>
    <w:rsid w:val="00EF51CF"/>
    <w:rsid w:val="00EF7F96"/>
    <w:rsid w:val="00F013DC"/>
    <w:rsid w:val="00F03027"/>
    <w:rsid w:val="00F0309B"/>
    <w:rsid w:val="00F0446E"/>
    <w:rsid w:val="00F06A77"/>
    <w:rsid w:val="00F13D33"/>
    <w:rsid w:val="00F1723E"/>
    <w:rsid w:val="00F2340C"/>
    <w:rsid w:val="00F26336"/>
    <w:rsid w:val="00F27098"/>
    <w:rsid w:val="00F272B0"/>
    <w:rsid w:val="00F27345"/>
    <w:rsid w:val="00F40A52"/>
    <w:rsid w:val="00F41765"/>
    <w:rsid w:val="00F4296E"/>
    <w:rsid w:val="00F42C6A"/>
    <w:rsid w:val="00F44562"/>
    <w:rsid w:val="00F44651"/>
    <w:rsid w:val="00F46D03"/>
    <w:rsid w:val="00F5189E"/>
    <w:rsid w:val="00F55DA6"/>
    <w:rsid w:val="00F56579"/>
    <w:rsid w:val="00F5664F"/>
    <w:rsid w:val="00F579EA"/>
    <w:rsid w:val="00F57C1A"/>
    <w:rsid w:val="00F646D0"/>
    <w:rsid w:val="00F65800"/>
    <w:rsid w:val="00F71DFF"/>
    <w:rsid w:val="00F73036"/>
    <w:rsid w:val="00F7669C"/>
    <w:rsid w:val="00F8224B"/>
    <w:rsid w:val="00F86D3B"/>
    <w:rsid w:val="00F91608"/>
    <w:rsid w:val="00FA1063"/>
    <w:rsid w:val="00FA44EB"/>
    <w:rsid w:val="00FA6186"/>
    <w:rsid w:val="00FB0D26"/>
    <w:rsid w:val="00FB504C"/>
    <w:rsid w:val="00FB733A"/>
    <w:rsid w:val="00FB7548"/>
    <w:rsid w:val="00FB7DE3"/>
    <w:rsid w:val="00FB7E5E"/>
    <w:rsid w:val="00FC34DE"/>
    <w:rsid w:val="00FD59AB"/>
    <w:rsid w:val="00FE1D57"/>
    <w:rsid w:val="00FE5375"/>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2DCE9B72"/>
  <w15:docId w15:val="{A6DB2F6F-6519-42F8-BFF0-062F4D48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D9"/>
    <w:pPr>
      <w:spacing w:after="0"/>
    </w:pPr>
  </w:style>
  <w:style w:type="paragraph" w:styleId="Titre1">
    <w:name w:val="heading 1"/>
    <w:basedOn w:val="Normal"/>
    <w:next w:val="Normal"/>
    <w:link w:val="Titre1C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B68D9"/>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9C43D4"/>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semiHidden/>
    <w:rsid w:val="003B68D9"/>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3B68D9"/>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3B68D9"/>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3B68D9"/>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epuces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epuces3">
    <w:name w:val="List Bullet 3"/>
    <w:basedOn w:val="Normal"/>
    <w:link w:val="Listepuces3C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epuces3Car">
    <w:name w:val="Liste à puces 3 Car"/>
    <w:link w:val="Listepuces3"/>
    <w:rsid w:val="009C43D4"/>
    <w:rPr>
      <w:rFonts w:ascii="Calibri" w:eastAsia="Times New Roman" w:hAnsi="Calibri" w:cs="Times New Roman"/>
      <w:szCs w:val="24"/>
      <w:lang w:eastAsia="fr-CA"/>
    </w:rPr>
  </w:style>
  <w:style w:type="paragraph" w:styleId="Listepuces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epuces2">
    <w:name w:val="List Bullet 2"/>
    <w:basedOn w:val="Normal"/>
    <w:uiPriority w:val="99"/>
    <w:unhideWhenUsed/>
    <w:rsid w:val="004818CA"/>
    <w:pPr>
      <w:numPr>
        <w:numId w:val="5"/>
      </w:numPr>
      <w:contextualSpacing/>
    </w:pPr>
  </w:style>
  <w:style w:type="character" w:customStyle="1" w:styleId="Par2Car">
    <w:name w:val="Par 2 Car"/>
    <w:basedOn w:val="Policepardfau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Grilledutableau">
    <w:name w:val="Table Grid"/>
    <w:basedOn w:val="Tableau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C5A2D"/>
    <w:pPr>
      <w:tabs>
        <w:tab w:val="center" w:pos="4320"/>
        <w:tab w:val="right" w:pos="8640"/>
      </w:tabs>
      <w:spacing w:line="240" w:lineRule="auto"/>
    </w:pPr>
  </w:style>
  <w:style w:type="character" w:customStyle="1" w:styleId="En-tteCar">
    <w:name w:val="En-tête Car"/>
    <w:basedOn w:val="Policepardfaut"/>
    <w:link w:val="En-tte"/>
    <w:uiPriority w:val="99"/>
    <w:rsid w:val="009C5A2D"/>
  </w:style>
  <w:style w:type="paragraph" w:styleId="Pieddepage">
    <w:name w:val="footer"/>
    <w:basedOn w:val="Normal"/>
    <w:link w:val="PieddepageCar"/>
    <w:uiPriority w:val="99"/>
    <w:unhideWhenUsed/>
    <w:rsid w:val="009C5A2D"/>
    <w:pPr>
      <w:tabs>
        <w:tab w:val="center" w:pos="4320"/>
        <w:tab w:val="right" w:pos="8640"/>
      </w:tabs>
      <w:spacing w:line="240" w:lineRule="auto"/>
    </w:pPr>
  </w:style>
  <w:style w:type="character" w:customStyle="1" w:styleId="PieddepageCar">
    <w:name w:val="Pied de page Car"/>
    <w:basedOn w:val="Policepardfaut"/>
    <w:link w:val="Pieddepage"/>
    <w:uiPriority w:val="99"/>
    <w:rsid w:val="009C5A2D"/>
  </w:style>
  <w:style w:type="paragraph" w:styleId="En-ttedetabledesmatires">
    <w:name w:val="TOC Heading"/>
    <w:basedOn w:val="Titre1"/>
    <w:next w:val="Normal"/>
    <w:uiPriority w:val="39"/>
    <w:unhideWhenUsed/>
    <w:qFormat/>
    <w:rsid w:val="00432E1D"/>
    <w:pPr>
      <w:numPr>
        <w:numId w:val="0"/>
      </w:numPr>
      <w:spacing w:before="240" w:line="259" w:lineRule="auto"/>
      <w:outlineLvl w:val="9"/>
    </w:pPr>
    <w:rPr>
      <w:lang w:val="en-US"/>
    </w:rPr>
  </w:style>
  <w:style w:type="paragraph" w:styleId="TM1">
    <w:name w:val="toc 1"/>
    <w:basedOn w:val="Normal"/>
    <w:next w:val="Normal"/>
    <w:autoRedefine/>
    <w:uiPriority w:val="39"/>
    <w:unhideWhenUsed/>
    <w:rsid w:val="00432E1D"/>
    <w:pPr>
      <w:spacing w:before="360" w:after="360"/>
    </w:pPr>
    <w:rPr>
      <w:b/>
      <w:bCs/>
      <w:caps/>
      <w:u w:val="single"/>
    </w:rPr>
  </w:style>
  <w:style w:type="paragraph" w:styleId="TM2">
    <w:name w:val="toc 2"/>
    <w:basedOn w:val="Normal"/>
    <w:next w:val="Normal"/>
    <w:autoRedefine/>
    <w:uiPriority w:val="39"/>
    <w:unhideWhenUsed/>
    <w:rsid w:val="00432E1D"/>
    <w:rPr>
      <w:b/>
      <w:bCs/>
      <w:smallCaps/>
    </w:rPr>
  </w:style>
  <w:style w:type="character" w:styleId="Lienhypertexte">
    <w:name w:val="Hyperlink"/>
    <w:basedOn w:val="Policepardfaut"/>
    <w:uiPriority w:val="99"/>
    <w:unhideWhenUsed/>
    <w:rsid w:val="00432E1D"/>
    <w:rPr>
      <w:color w:val="0000FF" w:themeColor="hyperlink"/>
      <w:u w:val="single"/>
    </w:rPr>
  </w:style>
  <w:style w:type="paragraph" w:styleId="TM3">
    <w:name w:val="toc 3"/>
    <w:basedOn w:val="Normal"/>
    <w:next w:val="Normal"/>
    <w:autoRedefine/>
    <w:uiPriority w:val="39"/>
    <w:unhideWhenUsed/>
    <w:rsid w:val="00432E1D"/>
    <w:rPr>
      <w:smallCaps/>
    </w:rPr>
  </w:style>
  <w:style w:type="paragraph" w:styleId="TM4">
    <w:name w:val="toc 4"/>
    <w:basedOn w:val="Normal"/>
    <w:next w:val="Normal"/>
    <w:autoRedefine/>
    <w:uiPriority w:val="39"/>
    <w:unhideWhenUsed/>
    <w:rsid w:val="00432E1D"/>
  </w:style>
  <w:style w:type="paragraph" w:styleId="TM5">
    <w:name w:val="toc 5"/>
    <w:basedOn w:val="Normal"/>
    <w:next w:val="Normal"/>
    <w:autoRedefine/>
    <w:uiPriority w:val="39"/>
    <w:unhideWhenUsed/>
    <w:rsid w:val="00432E1D"/>
  </w:style>
  <w:style w:type="paragraph" w:styleId="TM6">
    <w:name w:val="toc 6"/>
    <w:basedOn w:val="Normal"/>
    <w:next w:val="Normal"/>
    <w:autoRedefine/>
    <w:uiPriority w:val="39"/>
    <w:unhideWhenUsed/>
    <w:rsid w:val="00432E1D"/>
  </w:style>
  <w:style w:type="paragraph" w:styleId="TM7">
    <w:name w:val="toc 7"/>
    <w:basedOn w:val="Normal"/>
    <w:next w:val="Normal"/>
    <w:autoRedefine/>
    <w:uiPriority w:val="39"/>
    <w:unhideWhenUsed/>
    <w:rsid w:val="00432E1D"/>
  </w:style>
  <w:style w:type="paragraph" w:styleId="TM8">
    <w:name w:val="toc 8"/>
    <w:basedOn w:val="Normal"/>
    <w:next w:val="Normal"/>
    <w:autoRedefine/>
    <w:uiPriority w:val="39"/>
    <w:unhideWhenUsed/>
    <w:rsid w:val="00432E1D"/>
  </w:style>
  <w:style w:type="paragraph" w:styleId="TM9">
    <w:name w:val="toc 9"/>
    <w:basedOn w:val="Normal"/>
    <w:next w:val="Normal"/>
    <w:autoRedefine/>
    <w:uiPriority w:val="39"/>
    <w:unhideWhenUsed/>
    <w:rsid w:val="00432E1D"/>
  </w:style>
  <w:style w:type="paragraph" w:styleId="Textedebulles">
    <w:name w:val="Balloon Text"/>
    <w:basedOn w:val="Normal"/>
    <w:link w:val="TextedebullesCar"/>
    <w:uiPriority w:val="99"/>
    <w:semiHidden/>
    <w:unhideWhenUsed/>
    <w:rsid w:val="00432E1D"/>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Policepardfaut"/>
    <w:link w:val="Style1"/>
    <w:rsid w:val="00324F61"/>
    <w:rPr>
      <w:rFonts w:ascii="Calibri" w:hAnsi="Calibri" w:cstheme="majorBidi"/>
      <w:lang w:val="en-US"/>
    </w:rPr>
  </w:style>
  <w:style w:type="paragraph" w:styleId="Paragraphedeliste">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PrformatHTML">
    <w:name w:val="HTML Preformatted"/>
    <w:basedOn w:val="Normal"/>
    <w:link w:val="PrformatHTMLC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PrformatHTMLCar">
    <w:name w:val="Préformaté HTML Car"/>
    <w:basedOn w:val="Policepardfaut"/>
    <w:link w:val="PrformatHTML"/>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epuces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lev">
    <w:name w:val="Strong"/>
    <w:basedOn w:val="Policepardfaut"/>
    <w:uiPriority w:val="22"/>
    <w:qFormat/>
    <w:rsid w:val="00BE429C"/>
    <w:rPr>
      <w:b/>
      <w:bCs/>
    </w:rPr>
  </w:style>
  <w:style w:type="character" w:styleId="Marquedecommentaire">
    <w:name w:val="annotation reference"/>
    <w:semiHidden/>
    <w:rsid w:val="00706ECD"/>
    <w:rPr>
      <w:sz w:val="16"/>
      <w:szCs w:val="16"/>
    </w:rPr>
  </w:style>
  <w:style w:type="paragraph" w:styleId="Commentaire">
    <w:name w:val="annotation text"/>
    <w:basedOn w:val="Normal"/>
    <w:link w:val="CommentaireCar"/>
    <w:semiHidden/>
    <w:rsid w:val="00706ECD"/>
    <w:pPr>
      <w:spacing w:line="240" w:lineRule="auto"/>
    </w:pPr>
    <w:rPr>
      <w:rFonts w:ascii="Calibri" w:eastAsia="Times New Roman" w:hAnsi="Calibri" w:cs="Times New Roman"/>
      <w:sz w:val="20"/>
      <w:szCs w:val="20"/>
      <w:lang w:eastAsia="fr-FR"/>
    </w:rPr>
  </w:style>
  <w:style w:type="character" w:customStyle="1" w:styleId="CommentaireCar">
    <w:name w:val="Commentaire Car"/>
    <w:basedOn w:val="Policepardfaut"/>
    <w:link w:val="Commentaire"/>
    <w:semiHidden/>
    <w:rsid w:val="00706ECD"/>
    <w:rPr>
      <w:rFonts w:ascii="Calibri" w:eastAsia="Times New Roman" w:hAnsi="Calibri" w:cs="Times New Roman"/>
      <w:sz w:val="20"/>
      <w:szCs w:val="20"/>
      <w:lang w:eastAsia="fr-FR"/>
    </w:rPr>
  </w:style>
  <w:style w:type="paragraph" w:styleId="Notedefin">
    <w:name w:val="endnote text"/>
    <w:basedOn w:val="Normal"/>
    <w:link w:val="NotedefinCar"/>
    <w:uiPriority w:val="99"/>
    <w:semiHidden/>
    <w:unhideWhenUsed/>
    <w:rsid w:val="003554F8"/>
    <w:pPr>
      <w:spacing w:line="240" w:lineRule="auto"/>
    </w:pPr>
    <w:rPr>
      <w:sz w:val="20"/>
      <w:szCs w:val="20"/>
    </w:rPr>
  </w:style>
  <w:style w:type="character" w:customStyle="1" w:styleId="NotedefinCar">
    <w:name w:val="Note de fin Car"/>
    <w:basedOn w:val="Policepardfaut"/>
    <w:link w:val="Notedefin"/>
    <w:uiPriority w:val="99"/>
    <w:semiHidden/>
    <w:rsid w:val="003554F8"/>
    <w:rPr>
      <w:sz w:val="20"/>
      <w:szCs w:val="20"/>
    </w:rPr>
  </w:style>
  <w:style w:type="character" w:styleId="Appeldenotedefin">
    <w:name w:val="endnote reference"/>
    <w:basedOn w:val="Policepardfaut"/>
    <w:uiPriority w:val="99"/>
    <w:semiHidden/>
    <w:unhideWhenUsed/>
    <w:rsid w:val="003554F8"/>
    <w:rPr>
      <w:vertAlign w:val="superscript"/>
    </w:rPr>
  </w:style>
  <w:style w:type="paragraph" w:styleId="Notedebasdepage">
    <w:name w:val="footnote text"/>
    <w:basedOn w:val="Normal"/>
    <w:link w:val="NotedebasdepageCar"/>
    <w:uiPriority w:val="99"/>
    <w:semiHidden/>
    <w:unhideWhenUsed/>
    <w:rsid w:val="003554F8"/>
    <w:pPr>
      <w:spacing w:line="240" w:lineRule="auto"/>
    </w:pPr>
    <w:rPr>
      <w:sz w:val="20"/>
      <w:szCs w:val="20"/>
    </w:rPr>
  </w:style>
  <w:style w:type="character" w:customStyle="1" w:styleId="NotedebasdepageCar">
    <w:name w:val="Note de bas de page Car"/>
    <w:basedOn w:val="Policepardfaut"/>
    <w:link w:val="Notedebasdepage"/>
    <w:uiPriority w:val="99"/>
    <w:semiHidden/>
    <w:rsid w:val="003554F8"/>
    <w:rPr>
      <w:sz w:val="20"/>
      <w:szCs w:val="20"/>
    </w:rPr>
  </w:style>
  <w:style w:type="character" w:styleId="Appelnotedebasdep">
    <w:name w:val="footnote reference"/>
    <w:basedOn w:val="Policepardfaut"/>
    <w:uiPriority w:val="99"/>
    <w:semiHidden/>
    <w:unhideWhenUsed/>
    <w:rsid w:val="003554F8"/>
    <w:rPr>
      <w:vertAlign w:val="superscript"/>
    </w:rPr>
  </w:style>
  <w:style w:type="character" w:customStyle="1" w:styleId="apple-converted-space">
    <w:name w:val="apple-converted-space"/>
    <w:basedOn w:val="Policepardfaut"/>
    <w:rsid w:val="003A1F71"/>
  </w:style>
  <w:style w:type="character" w:styleId="Accentuation">
    <w:name w:val="Emphasis"/>
    <w:basedOn w:val="Policepardfau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Objetducommentaire">
    <w:name w:val="annotation subject"/>
    <w:basedOn w:val="Commentaire"/>
    <w:next w:val="Commentaire"/>
    <w:link w:val="ObjetducommentaireCar"/>
    <w:uiPriority w:val="99"/>
    <w:semiHidden/>
    <w:unhideWhenUsed/>
    <w:rsid w:val="00BB5024"/>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B5024"/>
    <w:rPr>
      <w:rFonts w:ascii="Calibri" w:eastAsia="Times New Roman" w:hAnsi="Calibri" w:cs="Times New Roman"/>
      <w:b/>
      <w:bCs/>
      <w:sz w:val="20"/>
      <w:szCs w:val="20"/>
      <w:lang w:eastAsia="fr-FR"/>
    </w:rPr>
  </w:style>
  <w:style w:type="paragraph" w:styleId="Rvision">
    <w:name w:val="Revision"/>
    <w:hidden/>
    <w:uiPriority w:val="99"/>
    <w:semiHidden/>
    <w:rsid w:val="005029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08621419">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C355E-E994-4617-86CB-0C381825D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6</Pages>
  <Words>1346</Words>
  <Characters>7403</Characters>
  <Application>Microsoft Office Word</Application>
  <DocSecurity>0</DocSecurity>
  <Lines>61</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TMX Group Limited</Company>
  <LinksUpToDate>false</LinksUpToDate>
  <CharactersWithSpaces>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Valérie Cellier</dc:creator>
  <cp:lastModifiedBy>TMX Group Limited</cp:lastModifiedBy>
  <cp:revision>69</cp:revision>
  <cp:lastPrinted>2021-06-30T14:43:00Z</cp:lastPrinted>
  <dcterms:created xsi:type="dcterms:W3CDTF">2016-02-12T14:00:00Z</dcterms:created>
  <dcterms:modified xsi:type="dcterms:W3CDTF">2022-11-22T21:10:00Z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oFAAspTNh41gn7DZ5vdB/v5WOaWbfNh3A9gub24qirehi5F02fUsGfcGiEQtElxHopfJ2khVd1FOC8fj
e6mjuqH9uhIJ3f81AqQ7FuoRtEHxnSjcaQDNUuaCDHo/Jd0dmAvm1YYld6NTUpnje6mjuqH9uhIJ
3f81AqQ7FuoRtEHxnSjcaQDNUuaCDAtTMI723Atk/zSV6CBWadFKbNmKKLU/WHzcUvS+kjw1+W14
dAi+fY1bunwtMAv/8</vt:lpwstr>
  </property>
  <property fmtid="{D5CDD505-2E9C-101B-9397-08002B2CF9AE}" pid="3" name="MAIL_MSG_ID2">
    <vt:lpwstr>EQt3ocTjwEPggq7IhdGJozFzvi0e6bZBH7pFAXEoZgd1GcBVGAdqjhPGofS
8+UuMuJyIb9G7bEhJ962vKbxiCt8F0Cs2ITK/j9z37eRbKCZ</vt:lpwstr>
  </property>
  <property fmtid="{D5CDD505-2E9C-101B-9397-08002B2CF9AE}" pid="4" name="RESPONSE_SENDER_NAME">
    <vt:lpwstr>sAAAE9kkUq3pEoIiUgBw/HMmyu6glVZ21Qc/4gaVsFFC1gs=</vt:lpwstr>
  </property>
  <property fmtid="{D5CDD505-2E9C-101B-9397-08002B2CF9AE}" pid="5" name="EMAIL_OWNER_ADDRESS">
    <vt:lpwstr>4AAA9DNYQidmug7ucCjeuzhzM20XVIeo8gJV5U3NEfHFla25uGxani+/bQ==</vt:lpwstr>
  </property>
</Properties>
</file>