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val="en-US"/>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6CC5AA39" w:rsidR="00BB54BE" w:rsidRDefault="00854930" w:rsidP="00226D3D">
      <w:pPr>
        <w:jc w:val="center"/>
        <w:rPr>
          <w:b/>
          <w:color w:val="365F91" w:themeColor="accent1" w:themeShade="BF"/>
          <w:sz w:val="28"/>
          <w:lang w:val="fr-CA"/>
        </w:rPr>
      </w:pPr>
      <w:r>
        <w:rPr>
          <w:b/>
          <w:color w:val="365F91" w:themeColor="accent1" w:themeShade="BF"/>
          <w:sz w:val="28"/>
          <w:lang w:val="fr-CA"/>
        </w:rPr>
        <w:t>T</w:t>
      </w:r>
      <w:r w:rsidR="00E87701">
        <w:rPr>
          <w:b/>
          <w:color w:val="365F91" w:themeColor="accent1" w:themeShade="BF"/>
          <w:sz w:val="28"/>
          <w:lang w:val="fr-CA"/>
        </w:rPr>
        <w:t>4</w:t>
      </w:r>
      <w:r w:rsidR="006178B3">
        <w:rPr>
          <w:b/>
          <w:color w:val="365F91" w:themeColor="accent1" w:themeShade="BF"/>
          <w:sz w:val="28"/>
          <w:lang w:val="fr-CA"/>
        </w:rPr>
        <w:t xml:space="preserve"> 202</w:t>
      </w:r>
      <w:r w:rsidR="00F23369">
        <w:rPr>
          <w:b/>
          <w:color w:val="365F91" w:themeColor="accent1" w:themeShade="BF"/>
          <w:sz w:val="28"/>
          <w:lang w:val="fr-CA"/>
        </w:rPr>
        <w:t>4</w:t>
      </w:r>
    </w:p>
    <w:p w14:paraId="431FF0F9" w14:textId="0AE70296" w:rsidR="00173E63" w:rsidRDefault="00173E63" w:rsidP="00226D3D">
      <w:pPr>
        <w:jc w:val="center"/>
        <w:rPr>
          <w:b/>
          <w:color w:val="365F91" w:themeColor="accent1" w:themeShade="BF"/>
          <w:sz w:val="28"/>
          <w:lang w:val="fr-CA"/>
        </w:rPr>
      </w:pPr>
    </w:p>
    <w:p w14:paraId="5B5AF9E0" w14:textId="68546A85" w:rsidR="00173E63" w:rsidRDefault="00173E63" w:rsidP="00226D3D">
      <w:pPr>
        <w:jc w:val="center"/>
        <w:rPr>
          <w:b/>
          <w:color w:val="365F91" w:themeColor="accent1" w:themeShade="BF"/>
          <w:sz w:val="28"/>
          <w:lang w:val="fr-CA"/>
        </w:rPr>
      </w:pPr>
    </w:p>
    <w:p w14:paraId="5CAFBA6F" w14:textId="77777777" w:rsidR="00F20321" w:rsidRDefault="00F20321" w:rsidP="00F20321">
      <w:pPr>
        <w:spacing w:after="200"/>
        <w:jc w:val="both"/>
        <w:rPr>
          <w:b/>
          <w:color w:val="365F91" w:themeColor="accent1" w:themeShade="BF"/>
          <w:sz w:val="28"/>
          <w:lang w:val="fr-FR"/>
        </w:rPr>
      </w:pPr>
      <w:r w:rsidRPr="00F20321">
        <w:rPr>
          <w:b/>
          <w:color w:val="365F91" w:themeColor="accent1" w:themeShade="BF"/>
          <w:sz w:val="28"/>
          <w:lang w:val="fr-FR"/>
        </w:rPr>
        <w:t>Avertissement</w:t>
      </w:r>
    </w:p>
    <w:p w14:paraId="354ABA89" w14:textId="7436282A" w:rsidR="00173E63" w:rsidRPr="00636A2D" w:rsidRDefault="00173E63" w:rsidP="00173E63">
      <w:pPr>
        <w:spacing w:after="200"/>
        <w:ind w:firstLine="720"/>
        <w:jc w:val="both"/>
        <w:rPr>
          <w:rFonts w:ascii="Calibri" w:eastAsia="Times New Roman" w:hAnsi="Calibri" w:cs="Times New Roman"/>
          <w:color w:val="000000"/>
          <w:szCs w:val="24"/>
          <w:lang w:val="fr-CA" w:eastAsia="fr-CA"/>
        </w:rPr>
      </w:pPr>
      <w:r w:rsidRPr="00F20321">
        <w:rPr>
          <w:rFonts w:ascii="Calibri" w:eastAsia="Times New Roman" w:hAnsi="Calibri" w:cs="Times New Roman"/>
          <w:color w:val="000000"/>
          <w:szCs w:val="24"/>
          <w:lang w:val="fr-FR" w:eastAsia="fr-CA"/>
        </w:rPr>
        <w:t xml:space="preserve">Bien que toute la diligence raisonnable ait été apportée à la préparation du présent document, la Corporation canadienne de compensation de produits dérivés (CDCC), la Bourse de Montréal, le Groupe TMX, les membres de ce groupe, leurs administrateurs ni aucune autre personne ne font de déclaration et n’offrent de garantie, expresse ou tacite, quant à l’exactitude, à l’exhaustivité et à la fidélité des renseignements et des avis qui y figurent, et ils déclinent toute responsabilité à cet égard. </w:t>
      </w:r>
      <w:r w:rsidRPr="00636A2D">
        <w:rPr>
          <w:rFonts w:ascii="Calibri" w:eastAsia="Times New Roman" w:hAnsi="Calibri" w:cs="Times New Roman"/>
          <w:color w:val="000000"/>
          <w:szCs w:val="24"/>
          <w:lang w:val="fr-CA" w:eastAsia="fr-CA"/>
        </w:rPr>
        <w:t>Le présent document a été établi aux seules fins d’information et de discussion; les avis qui y sont exprimés sont exclusivement ceux de la CDCC. L’information contenue dans le présent document ne peut être modifiée de quelque façon que ce soit. Vous êtes exclusivement responsable de toutes les conséquences découlant de votre utilisation du présent document et de l’information qui se trouve dans le présent site Web. La CDCC décline toute responsabilité à l’égard des dommages, qu’ils soient directs, indirects, spéciaux, accessoires ou d’une autre nature, quelle qu’en soit la cause, qui pourraient découler de l’utilisation du présent document et du présent site Web ou en lien avec l’information de ce document ou de ce site Web. Les lois de la province de Québec et celles du Canada qui sont applicables régissent l’utilisation, l’interprétation et la validité du présent document ainsi que l’effet des modalités d’utilisation du présent document, et ce, sans égard aux conflits de dispositions juridiques et indépendamment de votre territoire de domicile ou de résidence ou de l’endroit où vous vous trouvez. Vous convenez par les présentes vous en remettre à la compétence exclusive des tribunaux de la province de Québec en cas d’action en justice ou de poursuite relative à l’utilisation du présent document. Vous reconnaissez que la CDCC peut modifier, remanier, réviser ou retirer toute information fournie dans le présent document ou dans le présent site Web après sa publication ou la communication de l’information. Le contenu de ce document ou du site Web ne peut être reproduit, republié ou transmis, en tout ou en partie, sous quelque forme ou par quelque moyen que ce soit, sans le consentement écrit préalable de la CDCC. La CDCC se réserve le droit de modifier le présent document en tout temps, sans préavis.</w:t>
      </w:r>
    </w:p>
    <w:p w14:paraId="09875865" w14:textId="25B7171C" w:rsidR="00173E63" w:rsidRDefault="00173E63" w:rsidP="00226D3D">
      <w:pPr>
        <w:jc w:val="center"/>
        <w:rPr>
          <w:b/>
          <w:color w:val="365F91" w:themeColor="accent1" w:themeShade="BF"/>
          <w:sz w:val="28"/>
          <w:lang w:val="fr-CA"/>
        </w:rPr>
      </w:pPr>
    </w:p>
    <w:p w14:paraId="7BFE4211" w14:textId="77777777" w:rsidR="00173E63" w:rsidRPr="001C0132" w:rsidRDefault="00173E63" w:rsidP="00173E63">
      <w:pPr>
        <w:jc w:val="both"/>
        <w:rPr>
          <w:b/>
          <w:color w:val="365F91" w:themeColor="accent1" w:themeShade="BF"/>
          <w:sz w:val="28"/>
          <w:lang w:val="fr-CA"/>
        </w:rPr>
        <w:sectPr w:rsidR="00173E63" w:rsidRPr="001C0132">
          <w:pgSz w:w="12240" w:h="15840"/>
          <w:pgMar w:top="1296" w:right="1296" w:bottom="1296" w:left="1296" w:header="720" w:footer="720" w:gutter="0"/>
          <w:cols w:space="720"/>
        </w:sect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B15041"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0A884697"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ListParagraph"/>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ListParagraph"/>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ListParagraph"/>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476B08">
              <w:rPr>
                <w:rFonts w:ascii="Calibri" w:eastAsia="Times New Roman" w:hAnsi="Calibri" w:cs="Times New Roman"/>
                <w:color w:val="000000" w:themeColor="text1"/>
                <w:lang w:val="fr-CA"/>
              </w:rPr>
              <w:t>En cas de défaut, il est supposé que la CDCC dénouera les positions du défaillant dans les deux jours</w:t>
            </w:r>
            <w:r w:rsidRPr="001C0132">
              <w:rPr>
                <w:rFonts w:ascii="Calibri" w:eastAsia="Times New Roman" w:hAnsi="Calibri" w:cs="Times New Roman"/>
                <w:color w:val="000000" w:themeColor="text1"/>
                <w:lang w:val="fr-CA"/>
              </w:rPr>
              <w:t>.</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B15041"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ListParagraph"/>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ListParagraph"/>
              <w:spacing w:line="276" w:lineRule="auto"/>
              <w:ind w:left="0"/>
              <w:rPr>
                <w:lang w:eastAsia="en-US"/>
              </w:rPr>
            </w:pPr>
          </w:p>
          <w:p w14:paraId="45D5C5C2" w14:textId="2FEE131D" w:rsidR="00BB54BE" w:rsidRPr="00E16889" w:rsidRDefault="00BB54BE" w:rsidP="006B76A4">
            <w:pPr>
              <w:pStyle w:val="ListParagraph"/>
              <w:spacing w:line="276" w:lineRule="auto"/>
              <w:ind w:left="0"/>
              <w:jc w:val="both"/>
              <w:rPr>
                <w:color w:val="000000"/>
                <w:lang w:eastAsia="en-US"/>
              </w:rPr>
            </w:pPr>
            <w:bookmarkStart w:id="27" w:name="lt_pId047"/>
            <w:r w:rsidRPr="00E16889">
              <w:rPr>
                <w:lang w:eastAsia="en-US"/>
              </w:rPr>
              <w:t xml:space="preserve">Le nombre de jours correspond au </w:t>
            </w:r>
            <w:r w:rsidRPr="00E16889">
              <w:rPr>
                <w:u w:val="single"/>
                <w:lang w:eastAsia="en-US"/>
              </w:rPr>
              <w:t xml:space="preserve">nombre moyen </w:t>
            </w:r>
            <w:r w:rsidR="00DD546E" w:rsidRPr="00E16889">
              <w:rPr>
                <w:u w:val="single"/>
                <w:lang w:eastAsia="en-US"/>
              </w:rPr>
              <w:t>d’</w:t>
            </w:r>
            <w:r w:rsidRPr="00E16889">
              <w:rPr>
                <w:u w:val="single"/>
                <w:lang w:eastAsia="en-US"/>
              </w:rPr>
              <w:t>échecs par actif</w:t>
            </w:r>
            <w:r w:rsidRPr="00E16889">
              <w:rPr>
                <w:lang w:eastAsia="en-US"/>
              </w:rPr>
              <w:t xml:space="preserve"> au cours de la période considérée.</w:t>
            </w:r>
            <w:bookmarkEnd w:id="27"/>
            <w:r w:rsidRPr="00E16889">
              <w:rPr>
                <w:lang w:eastAsia="en-US"/>
              </w:rPr>
              <w:t xml:space="preserve"> </w:t>
            </w:r>
            <w:bookmarkStart w:id="28" w:name="lt_pId048"/>
            <w:r w:rsidRPr="00E16889">
              <w:rPr>
                <w:color w:val="000000"/>
                <w:lang w:eastAsia="en-US"/>
              </w:rPr>
              <w:t xml:space="preserve">À titre d’information complémentaire, les résultats des contrôles </w:t>
            </w:r>
            <w:r w:rsidR="00DD546E" w:rsidRPr="00E16889">
              <w:rPr>
                <w:color w:val="000000"/>
                <w:lang w:eastAsia="en-US"/>
              </w:rPr>
              <w:t>ex post</w:t>
            </w:r>
            <w:r w:rsidRPr="00E16889">
              <w:rPr>
                <w:color w:val="000000"/>
                <w:lang w:eastAsia="en-US"/>
              </w:rPr>
              <w:t xml:space="preserve"> des décotes ont été inclus au niveau de l’actif :</w:t>
            </w:r>
            <w:bookmarkEnd w:id="28"/>
          </w:p>
          <w:p w14:paraId="351077C6" w14:textId="44786FDD" w:rsidR="00BB54BE" w:rsidRPr="00E16889" w:rsidRDefault="001C3DFE" w:rsidP="00BB54BE">
            <w:pPr>
              <w:pStyle w:val="ListParagraph"/>
              <w:numPr>
                <w:ilvl w:val="0"/>
                <w:numId w:val="29"/>
              </w:numPr>
              <w:spacing w:line="276" w:lineRule="auto"/>
              <w:contextualSpacing/>
              <w:jc w:val="both"/>
              <w:rPr>
                <w:color w:val="000000"/>
                <w:lang w:eastAsia="en-US"/>
              </w:rPr>
            </w:pPr>
            <w:bookmarkStart w:id="29" w:name="lt_pId049"/>
            <w:r>
              <w:rPr>
                <w:color w:val="000000"/>
                <w:lang w:eastAsia="en-US"/>
              </w:rPr>
              <w:t>35</w:t>
            </w:r>
            <w:r w:rsidR="00E87701">
              <w:rPr>
                <w:color w:val="000000"/>
                <w:lang w:eastAsia="en-US"/>
              </w:rPr>
              <w:t>3</w:t>
            </w:r>
            <w:r w:rsidR="00BB54BE" w:rsidRPr="00E16889">
              <w:rPr>
                <w:color w:val="000000"/>
                <w:lang w:eastAsia="en-US"/>
              </w:rPr>
              <w:t xml:space="preserve"> échecs sur </w:t>
            </w:r>
            <w:r w:rsidR="00E87701">
              <w:rPr>
                <w:color w:val="000000"/>
                <w:lang w:eastAsia="en-US"/>
              </w:rPr>
              <w:t>2</w:t>
            </w:r>
            <w:r>
              <w:rPr>
                <w:color w:val="000000"/>
                <w:lang w:eastAsia="en-US"/>
              </w:rPr>
              <w:t>44,564</w:t>
            </w:r>
            <w:r w:rsidR="009A70F8" w:rsidRPr="00E16889">
              <w:rPr>
                <w:color w:val="000000"/>
                <w:lang w:eastAsia="en-US"/>
              </w:rPr>
              <w:t xml:space="preserve"> </w:t>
            </w:r>
            <w:r w:rsidR="00BB54BE" w:rsidRPr="00E16889">
              <w:rPr>
                <w:color w:val="000000"/>
                <w:lang w:eastAsia="en-US"/>
              </w:rPr>
              <w:t>essais</w:t>
            </w:r>
            <w:r w:rsidR="00F40A52" w:rsidRPr="00E16889">
              <w:rPr>
                <w:color w:val="000000"/>
                <w:lang w:eastAsia="en-US"/>
              </w:rPr>
              <w:t xml:space="preserve"> pour les obligations</w:t>
            </w:r>
            <w:r w:rsidR="00BB54BE" w:rsidRPr="00E16889">
              <w:rPr>
                <w:color w:val="000000"/>
                <w:lang w:eastAsia="en-US"/>
              </w:rPr>
              <w:t>, ce qui correspond à un tau</w:t>
            </w:r>
            <w:r w:rsidR="007C16CF" w:rsidRPr="00E16889">
              <w:rPr>
                <w:color w:val="000000"/>
                <w:lang w:eastAsia="en-US"/>
              </w:rPr>
              <w:t xml:space="preserve">x </w:t>
            </w:r>
            <w:r w:rsidR="00107127" w:rsidRPr="00E16889">
              <w:rPr>
                <w:color w:val="000000"/>
                <w:lang w:eastAsia="en-US"/>
              </w:rPr>
              <w:t>de couverture atteint de 99,</w:t>
            </w:r>
            <w:r>
              <w:rPr>
                <w:color w:val="000000"/>
                <w:lang w:eastAsia="en-US"/>
              </w:rPr>
              <w:t>90</w:t>
            </w:r>
            <w:r w:rsidR="00BB54BE" w:rsidRPr="00E16889">
              <w:rPr>
                <w:color w:val="000000"/>
                <w:lang w:eastAsia="en-US"/>
              </w:rPr>
              <w:t> %</w:t>
            </w:r>
            <w:bookmarkEnd w:id="29"/>
            <w:r w:rsidR="00755527" w:rsidRPr="00E16889">
              <w:rPr>
                <w:color w:val="000000"/>
                <w:lang w:eastAsia="en-US"/>
              </w:rPr>
              <w:t>.</w:t>
            </w:r>
          </w:p>
          <w:p w14:paraId="4E54B240" w14:textId="7D05D1F1" w:rsidR="00BB54BE" w:rsidRPr="00E16889" w:rsidRDefault="001C3DFE" w:rsidP="007C16CF">
            <w:pPr>
              <w:pStyle w:val="ListParagraph"/>
              <w:numPr>
                <w:ilvl w:val="0"/>
                <w:numId w:val="29"/>
              </w:numPr>
              <w:spacing w:line="276" w:lineRule="auto"/>
              <w:contextualSpacing/>
              <w:jc w:val="both"/>
              <w:rPr>
                <w:color w:val="000000"/>
                <w:lang w:eastAsia="en-US"/>
              </w:rPr>
            </w:pPr>
            <w:bookmarkStart w:id="30" w:name="lt_pId050"/>
            <w:r>
              <w:rPr>
                <w:color w:val="000000"/>
                <w:lang w:eastAsia="en-US"/>
              </w:rPr>
              <w:t>3</w:t>
            </w:r>
            <w:r w:rsidR="00755527" w:rsidRPr="00E16889">
              <w:rPr>
                <w:color w:val="000000"/>
                <w:lang w:eastAsia="en-US"/>
              </w:rPr>
              <w:t xml:space="preserve"> échec</w:t>
            </w:r>
            <w:r w:rsidR="00B814EB" w:rsidRPr="00E16889">
              <w:rPr>
                <w:color w:val="000000"/>
                <w:lang w:eastAsia="en-US"/>
              </w:rPr>
              <w:t>s</w:t>
            </w:r>
            <w:r w:rsidR="00BB54BE" w:rsidRPr="00E16889">
              <w:rPr>
                <w:color w:val="000000"/>
                <w:lang w:eastAsia="en-US"/>
              </w:rPr>
              <w:t xml:space="preserve"> sur </w:t>
            </w:r>
            <w:r w:rsidR="00E87701">
              <w:rPr>
                <w:color w:val="000000"/>
                <w:lang w:eastAsia="en-US"/>
              </w:rPr>
              <w:t>7</w:t>
            </w:r>
            <w:r>
              <w:rPr>
                <w:color w:val="000000"/>
                <w:lang w:eastAsia="en-US"/>
              </w:rPr>
              <w:t>1,389</w:t>
            </w:r>
            <w:r w:rsidR="00B814EB" w:rsidRPr="00E16889">
              <w:rPr>
                <w:color w:val="000000"/>
                <w:lang w:eastAsia="en-US"/>
              </w:rPr>
              <w:t xml:space="preserve"> </w:t>
            </w:r>
            <w:r w:rsidR="00BB54BE" w:rsidRPr="00E16889">
              <w:rPr>
                <w:color w:val="000000"/>
                <w:lang w:eastAsia="en-US"/>
              </w:rPr>
              <w:t xml:space="preserve">essais pour les titres de participation, ce qui correspond </w:t>
            </w:r>
            <w:r w:rsidR="00F40A52" w:rsidRPr="00E16889">
              <w:rPr>
                <w:color w:val="000000"/>
                <w:lang w:eastAsia="en-US"/>
              </w:rPr>
              <w:t xml:space="preserve">à </w:t>
            </w:r>
            <w:r w:rsidR="00BB54BE" w:rsidRPr="00E16889">
              <w:rPr>
                <w:color w:val="000000"/>
                <w:lang w:eastAsia="en-US"/>
              </w:rPr>
              <w:t>un tau</w:t>
            </w:r>
            <w:r w:rsidR="008F7D36" w:rsidRPr="00E16889">
              <w:rPr>
                <w:color w:val="000000"/>
                <w:lang w:eastAsia="en-US"/>
              </w:rPr>
              <w:t>x de couverture atteint de 100.00</w:t>
            </w:r>
            <w:r w:rsidR="0045460B" w:rsidRPr="00E16889">
              <w:rPr>
                <w:color w:val="000000"/>
                <w:lang w:eastAsia="en-US"/>
              </w:rPr>
              <w:t xml:space="preserve"> %</w:t>
            </w:r>
            <w:bookmarkEnd w:id="30"/>
            <w:r w:rsidR="00755527" w:rsidRPr="00E16889">
              <w:rPr>
                <w:color w:val="000000"/>
                <w:lang w:eastAsia="en-US"/>
              </w:rPr>
              <w:t>.</w:t>
            </w:r>
          </w:p>
          <w:p w14:paraId="53CFA7AB" w14:textId="67107F3B" w:rsidR="007C16CF" w:rsidRPr="001C0132" w:rsidRDefault="007C16CF" w:rsidP="007C16CF">
            <w:pPr>
              <w:pStyle w:val="ListParagraph"/>
              <w:spacing w:line="276" w:lineRule="auto"/>
              <w:ind w:left="360"/>
              <w:contextualSpacing/>
              <w:jc w:val="both"/>
              <w:rPr>
                <w:color w:val="000000"/>
                <w:lang w:eastAsia="en-US"/>
              </w:rPr>
            </w:pPr>
          </w:p>
        </w:tc>
      </w:tr>
      <w:tr w:rsidR="00BB54BE" w:rsidRPr="00B15041"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6112DF9"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1" w:name="lt_pId053"/>
            <w:r w:rsidRPr="001C0132">
              <w:rPr>
                <w:rFonts w:ascii="Calibri" w:eastAsia="Times New Roman" w:hAnsi="Calibri" w:cs="Times New Roman"/>
                <w:b/>
                <w:i/>
                <w:color w:val="000000"/>
                <w:lang w:val="fr-CA"/>
              </w:rPr>
              <w:t xml:space="preserve">Marge initiale totale requise répartie par compte maison, </w:t>
            </w:r>
            <w:r w:rsidR="00BA1FDC" w:rsidRPr="006D6075">
              <w:rPr>
                <w:rFonts w:ascii="Calibri" w:eastAsia="Times New Roman" w:hAnsi="Calibri" w:cs="Times New Roman"/>
                <w:b/>
                <w:i/>
                <w:color w:val="000000"/>
                <w:lang w:val="fr-CA"/>
              </w:rPr>
              <w:t>client MBC</w:t>
            </w:r>
            <w:r w:rsidRPr="006D6075">
              <w:rPr>
                <w:rFonts w:ascii="Calibri" w:eastAsia="Times New Roman" w:hAnsi="Calibri" w:cs="Times New Roman"/>
                <w:b/>
                <w:i/>
                <w:color w:val="000000"/>
                <w:lang w:val="fr-CA"/>
              </w:rPr>
              <w:t xml:space="preserve">, </w:t>
            </w:r>
            <w:r w:rsidR="00BA1FDC" w:rsidRPr="006D6075">
              <w:rPr>
                <w:rFonts w:ascii="Calibri" w:eastAsia="Times New Roman" w:hAnsi="Calibri" w:cs="Times New Roman"/>
                <w:b/>
                <w:i/>
                <w:color w:val="000000"/>
                <w:lang w:val="fr-CA"/>
              </w:rPr>
              <w:t>client non-MBC</w:t>
            </w:r>
            <w:r w:rsidRPr="001C0132">
              <w:rPr>
                <w:rFonts w:ascii="Calibri" w:eastAsia="Times New Roman" w:hAnsi="Calibri" w:cs="Times New Roman"/>
                <w:b/>
                <w:i/>
                <w:color w:val="000000"/>
                <w:lang w:val="fr-CA"/>
              </w:rPr>
              <w:t xml:space="preserve"> et total</w:t>
            </w:r>
            <w:bookmarkEnd w:id="31"/>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4A8A8207" w14:textId="77777777" w:rsidR="006605F4" w:rsidRPr="006D6075" w:rsidRDefault="006605F4"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L'exigence de marge initiale totale est composée de</w:t>
            </w:r>
          </w:p>
          <w:p w14:paraId="3EAB29F9"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initiale de base</w:t>
            </w:r>
          </w:p>
          <w:p w14:paraId="477610B8"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de variation pour les options et les éléments non réglés</w:t>
            </w:r>
          </w:p>
          <w:p w14:paraId="2FBF8778" w14:textId="54291BC3" w:rsidR="006605F4" w:rsidRPr="006D6075" w:rsidRDefault="006605F4" w:rsidP="007A2985">
            <w:pPr>
              <w:spacing w:after="160" w:line="240" w:lineRule="auto"/>
              <w:ind w:left="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 Marges supplémentaires pour le risque de marge de capital, le risque de liquidité du marché, </w:t>
            </w:r>
            <w:r w:rsidRPr="006D6075">
              <w:rPr>
                <w:lang w:val="fr-CA"/>
              </w:rPr>
              <w:t>le risque de corrélation défavorable spécifique</w:t>
            </w:r>
            <w:r w:rsidRPr="006D6075">
              <w:rPr>
                <w:rFonts w:ascii="Calibri" w:eastAsia="Times New Roman" w:hAnsi="Calibri" w:cs="Times New Roman"/>
                <w:color w:val="000000"/>
                <w:lang w:val="fr-CA"/>
              </w:rPr>
              <w:t xml:space="preserve">, </w:t>
            </w:r>
            <w:r w:rsidRPr="006D6075">
              <w:rPr>
                <w:lang w:val="fr-CA"/>
              </w:rPr>
              <w:t>le risque d’asymétrie du règlement</w:t>
            </w:r>
            <w:r w:rsidRPr="006D6075">
              <w:rPr>
                <w:rFonts w:ascii="Calibri" w:eastAsia="Times New Roman" w:hAnsi="Calibri" w:cs="Times New Roman"/>
                <w:color w:val="000000"/>
                <w:lang w:val="fr-CA"/>
              </w:rPr>
              <w:t xml:space="preserve">, le risque de marge de variation intra-journalière, </w:t>
            </w:r>
            <w:r w:rsidRPr="006D6075">
              <w:rPr>
                <w:lang w:val="fr-CA"/>
              </w:rPr>
              <w:t>le risque d’exposition à une prime d’option impayée</w:t>
            </w:r>
            <w:r w:rsidRPr="006D6075">
              <w:rPr>
                <w:rFonts w:ascii="Calibri" w:eastAsia="Times New Roman" w:hAnsi="Calibri" w:cs="Times New Roman"/>
                <w:color w:val="000000"/>
                <w:lang w:val="fr-CA"/>
              </w:rPr>
              <w:t xml:space="preserve">, </w:t>
            </w:r>
            <w:r w:rsidRPr="006D6075">
              <w:rPr>
                <w:lang w:val="fr-CA"/>
              </w:rPr>
              <w:t>le risque relatif au jour férié bancaire</w:t>
            </w:r>
            <w:r w:rsidRPr="006D6075">
              <w:rPr>
                <w:rFonts w:ascii="Calibri" w:eastAsia="Times New Roman" w:hAnsi="Calibri" w:cs="Times New Roman"/>
                <w:color w:val="000000"/>
                <w:lang w:val="fr-CA"/>
              </w:rPr>
              <w:t xml:space="preserve"> et </w:t>
            </w:r>
            <w:r w:rsidRPr="006D6075">
              <w:rPr>
                <w:lang w:val="fr-CA"/>
              </w:rPr>
              <w:t>le risque de livraison lié à la marge de variation</w:t>
            </w:r>
            <w:r w:rsidRPr="006D6075">
              <w:rPr>
                <w:rFonts w:ascii="Calibri" w:eastAsia="Times New Roman" w:hAnsi="Calibri" w:cs="Times New Roman"/>
                <w:color w:val="000000"/>
                <w:lang w:val="fr-CA"/>
              </w:rPr>
              <w:t xml:space="preserve">, </w:t>
            </w:r>
            <w:r w:rsidRPr="006D6075">
              <w:rPr>
                <w:lang w:val="fr-CA"/>
              </w:rPr>
              <w:t>le risque à découvert pour des membres compensateurs à responsabilité limitée</w:t>
            </w:r>
            <w:r w:rsidRPr="006D6075">
              <w:rPr>
                <w:rFonts w:ascii="Calibri" w:eastAsia="Times New Roman" w:hAnsi="Calibri" w:cs="Times New Roman"/>
                <w:color w:val="000000"/>
                <w:lang w:val="fr-CA"/>
              </w:rPr>
              <w:t>,</w:t>
            </w:r>
            <w:r w:rsidR="004C0002"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 xml:space="preserve">le risque MBC intra-journalier, </w:t>
            </w:r>
            <w:r w:rsidR="004C0002" w:rsidRPr="006D6075">
              <w:rPr>
                <w:rFonts w:ascii="Calibri" w:eastAsia="Times New Roman" w:hAnsi="Calibri" w:cs="Times New Roman"/>
                <w:color w:val="000000"/>
                <w:lang w:val="fr-CA"/>
              </w:rPr>
              <w:t xml:space="preserve">le </w:t>
            </w:r>
            <w:r w:rsidRPr="006D6075">
              <w:rPr>
                <w:rFonts w:ascii="Calibri" w:eastAsia="Times New Roman" w:hAnsi="Calibri" w:cs="Times New Roman"/>
                <w:color w:val="000000"/>
                <w:lang w:val="fr-CA"/>
              </w:rPr>
              <w:t>risque de positions MBC non déclarées et toute autre marge supplémentaire</w:t>
            </w:r>
          </w:p>
          <w:p w14:paraId="61BCDBEF" w14:textId="2970824B" w:rsidR="006605F4" w:rsidRPr="00731A74" w:rsidRDefault="006B50DB"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w:t>
            </w:r>
            <w:r w:rsidR="006605F4" w:rsidRPr="006D6075">
              <w:rPr>
                <w:rFonts w:ascii="Calibri" w:eastAsia="Times New Roman" w:hAnsi="Calibri" w:cs="Times New Roman"/>
                <w:color w:val="000000"/>
                <w:lang w:val="fr-CA"/>
              </w:rPr>
              <w:t>es marges supplémentaires sont requises dans les exigences du compte maison, à l'exception de la marge supplémentaire pour le risque MBC intra-journalier et de la marge supplémentaire pour le risque de positions MBC non déclarées qui sont requises dans les exigences du compte</w:t>
            </w:r>
            <w:r w:rsidRPr="006D6075">
              <w:rPr>
                <w:rFonts w:ascii="Calibri" w:eastAsia="Times New Roman" w:hAnsi="Calibri" w:cs="Times New Roman"/>
                <w:color w:val="000000"/>
                <w:lang w:val="fr-CA"/>
              </w:rPr>
              <w:t xml:space="preserve"> de marge</w:t>
            </w:r>
            <w:r w:rsidR="006605F4"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lié au régime MBC</w:t>
            </w:r>
            <w:r w:rsidR="006605F4" w:rsidRPr="006D6075">
              <w:rPr>
                <w:rFonts w:ascii="Calibri" w:eastAsia="Times New Roman" w:hAnsi="Calibri" w:cs="Times New Roman"/>
                <w:color w:val="000000"/>
                <w:lang w:val="fr-CA"/>
              </w:rPr>
              <w:t>.</w:t>
            </w:r>
          </w:p>
          <w:p w14:paraId="6572026A" w14:textId="53016DB1" w:rsidR="006D6075" w:rsidRPr="006D6075" w:rsidRDefault="006D6075" w:rsidP="006D6075">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Le Client </w:t>
            </w:r>
            <w:r>
              <w:rPr>
                <w:rFonts w:ascii="Calibri" w:eastAsia="Times New Roman" w:hAnsi="Calibri" w:cs="Times New Roman"/>
                <w:color w:val="000000"/>
                <w:lang w:val="fr-CA"/>
              </w:rPr>
              <w:t>Brut</w:t>
            </w:r>
            <w:r w:rsidRPr="006D6075">
              <w:rPr>
                <w:rFonts w:ascii="Calibri" w:eastAsia="Times New Roman" w:hAnsi="Calibri" w:cs="Times New Roman"/>
                <w:color w:val="000000"/>
                <w:lang w:val="fr-CA"/>
              </w:rPr>
              <w:t xml:space="preserve"> est </w:t>
            </w:r>
            <w:r>
              <w:rPr>
                <w:rFonts w:ascii="Calibri" w:eastAsia="Times New Roman" w:hAnsi="Calibri" w:cs="Times New Roman"/>
                <w:color w:val="000000"/>
                <w:lang w:val="fr-CA"/>
              </w:rPr>
              <w:t>c</w:t>
            </w:r>
            <w:r w:rsidRPr="006D6075">
              <w:rPr>
                <w:rFonts w:ascii="Calibri" w:eastAsia="Times New Roman" w:hAnsi="Calibri" w:cs="Times New Roman"/>
                <w:color w:val="000000"/>
                <w:lang w:val="fr-CA"/>
              </w:rPr>
              <w:t xml:space="preserve">lient </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 xml:space="preserve"> et Client Net est Client </w:t>
            </w:r>
            <w:r>
              <w:rPr>
                <w:rFonts w:ascii="Calibri" w:eastAsia="Times New Roman" w:hAnsi="Calibri" w:cs="Times New Roman"/>
                <w:color w:val="000000"/>
                <w:lang w:val="fr-CA"/>
              </w:rPr>
              <w:t>n</w:t>
            </w:r>
            <w:r w:rsidRPr="006D6075">
              <w:rPr>
                <w:rFonts w:ascii="Calibri" w:eastAsia="Times New Roman" w:hAnsi="Calibri" w:cs="Times New Roman"/>
                <w:color w:val="000000"/>
                <w:lang w:val="fr-CA"/>
              </w:rPr>
              <w:t>on-</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w:t>
            </w:r>
          </w:p>
          <w:p w14:paraId="0C747F54" w14:textId="2BFFE14E" w:rsidR="00BB54BE" w:rsidRDefault="00BB54BE" w:rsidP="007A2985">
            <w:pPr>
              <w:spacing w:line="240" w:lineRule="auto"/>
              <w:rPr>
                <w:rFonts w:ascii="Calibri" w:eastAsia="Times New Roman" w:hAnsi="Calibri" w:cs="Times New Roman"/>
                <w:color w:val="000000"/>
                <w:lang w:val="fr-CA"/>
              </w:rPr>
            </w:pPr>
          </w:p>
          <w:p w14:paraId="12733CD7" w14:textId="77777777" w:rsidR="00E87701" w:rsidRPr="00E87701" w:rsidRDefault="00E87701" w:rsidP="007A2985">
            <w:pPr>
              <w:spacing w:line="240" w:lineRule="auto"/>
              <w:rPr>
                <w:rFonts w:ascii="Calibri" w:eastAsia="Times New Roman" w:hAnsi="Calibri" w:cs="Times New Roman"/>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2"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2"/>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29827729" w14:textId="3D198D1F" w:rsidR="00924DD1" w:rsidRDefault="00924DD1" w:rsidP="00924DD1">
            <w:pPr>
              <w:spacing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La marge initiale totale détenue est répartie par maison, client (</w:t>
            </w:r>
            <w:r w:rsidR="00BA1FDC" w:rsidRPr="006D6075">
              <w:rPr>
                <w:rFonts w:ascii="Calibri" w:eastAsia="Times New Roman" w:hAnsi="Calibri" w:cs="Times New Roman"/>
                <w:color w:val="000000"/>
                <w:lang w:val="fr-CA"/>
              </w:rPr>
              <w:t xml:space="preserve">client </w:t>
            </w:r>
            <w:r w:rsidR="006B50DB" w:rsidRPr="006D6075">
              <w:rPr>
                <w:rFonts w:ascii="Calibri" w:eastAsia="Times New Roman" w:hAnsi="Calibri" w:cs="Times New Roman"/>
                <w:color w:val="000000"/>
                <w:lang w:val="fr-CA"/>
              </w:rPr>
              <w:t>MBC</w:t>
            </w:r>
            <w:r w:rsidR="00BA1FDC" w:rsidRPr="006D6075">
              <w:rPr>
                <w:rFonts w:ascii="Calibri" w:eastAsia="Times New Roman" w:hAnsi="Calibri" w:cs="Times New Roman"/>
                <w:color w:val="000000"/>
                <w:lang w:val="fr-CA"/>
              </w:rPr>
              <w:t xml:space="preserve"> + client non-MBC</w:t>
            </w:r>
            <w:r w:rsidRPr="006D6075">
              <w:rPr>
                <w:rFonts w:ascii="Calibri" w:eastAsia="Times New Roman" w:hAnsi="Calibri" w:cs="Times New Roman"/>
                <w:color w:val="000000"/>
                <w:lang w:val="fr-CA"/>
              </w:rPr>
              <w:t>) et total.</w:t>
            </w:r>
          </w:p>
          <w:p w14:paraId="1847A79F" w14:textId="6F06313B" w:rsidR="007A2985" w:rsidRDefault="007A2985" w:rsidP="00924DD1">
            <w:pPr>
              <w:spacing w:line="240" w:lineRule="auto"/>
              <w:jc w:val="both"/>
              <w:rPr>
                <w:rFonts w:ascii="Calibri" w:eastAsia="Times New Roman" w:hAnsi="Calibri" w:cs="Times New Roman"/>
                <w:color w:val="000000"/>
                <w:lang w:val="fr-CA"/>
              </w:rPr>
            </w:pPr>
          </w:p>
          <w:p w14:paraId="6C9AE1A7" w14:textId="40039AD7" w:rsidR="00BB54BE" w:rsidRPr="001C0132" w:rsidRDefault="00BB54BE" w:rsidP="006B76A4">
            <w:pPr>
              <w:spacing w:line="240" w:lineRule="auto"/>
              <w:jc w:val="both"/>
              <w:rPr>
                <w:rFonts w:ascii="Calibri" w:eastAsia="Times New Roman" w:hAnsi="Calibri" w:cs="Times New Roman"/>
                <w:color w:val="000000"/>
                <w:lang w:val="fr-CA"/>
              </w:rPr>
            </w:pPr>
            <w:r w:rsidRPr="00E87701">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3" w:name="lt_pId059"/>
            <w:r w:rsidRPr="001C0132">
              <w:rPr>
                <w:rFonts w:ascii="Calibri" w:eastAsia="Times New Roman" w:hAnsi="Calibri" w:cs="Times New Roman"/>
                <w:b/>
                <w:i/>
                <w:color w:val="000000"/>
                <w:lang w:val="fr-CA"/>
              </w:rPr>
              <w:t xml:space="preserve">Fréquence </w:t>
            </w:r>
            <w:bookmarkEnd w:id="33"/>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4"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4"/>
            <w:r w:rsidR="00A02B21">
              <w:rPr>
                <w:rFonts w:ascii="Calibri" w:eastAsia="Times New Roman" w:hAnsi="Calibri" w:cs="Times New Roman"/>
                <w:color w:val="000000"/>
                <w:lang w:val="fr-CA"/>
              </w:rPr>
              <w:t>.</w:t>
            </w:r>
          </w:p>
        </w:tc>
      </w:tr>
      <w:tr w:rsidR="00BB54BE" w:rsidRPr="00B15041"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E16889">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5"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5"/>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ListParagraph"/>
              <w:numPr>
                <w:ilvl w:val="0"/>
                <w:numId w:val="29"/>
              </w:numPr>
              <w:spacing w:line="276" w:lineRule="auto"/>
              <w:contextualSpacing/>
              <w:jc w:val="both"/>
              <w:rPr>
                <w:color w:val="000000"/>
                <w:lang w:eastAsia="en-US"/>
              </w:rPr>
            </w:pPr>
            <w:bookmarkStart w:id="36"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7" w:name="lt_pId065"/>
            <w:bookmarkEnd w:id="36"/>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ont également été appliquées, le cas échéant</w:t>
            </w:r>
            <w:r w:rsidRPr="001C0132">
              <w:rPr>
                <w:color w:val="000000"/>
                <w:lang w:eastAsia="en-US"/>
              </w:rPr>
              <w:t>.</w:t>
            </w:r>
            <w:bookmarkEnd w:id="37"/>
          </w:p>
          <w:p w14:paraId="03DC28C8" w14:textId="77777777" w:rsidR="00F40A52" w:rsidRPr="00C92937" w:rsidRDefault="00BB54BE" w:rsidP="00055E80">
            <w:pPr>
              <w:pStyle w:val="ListParagraph"/>
              <w:numPr>
                <w:ilvl w:val="0"/>
                <w:numId w:val="29"/>
              </w:numPr>
              <w:spacing w:line="276" w:lineRule="auto"/>
              <w:contextualSpacing/>
              <w:jc w:val="both"/>
              <w:rPr>
                <w:b/>
                <w:i/>
                <w:color w:val="000000"/>
                <w:lang w:eastAsia="en-US"/>
              </w:rPr>
            </w:pPr>
            <w:bookmarkStart w:id="38"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38"/>
            <w:r w:rsidRPr="001C0132">
              <w:rPr>
                <w:color w:val="000000"/>
                <w:lang w:eastAsia="en-US"/>
              </w:rPr>
              <w:t xml:space="preserve"> </w:t>
            </w:r>
            <w:bookmarkStart w:id="39"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 xml:space="preserve">en </w:t>
            </w:r>
            <w:r>
              <w:rPr>
                <w:color w:val="000000"/>
                <w:lang w:eastAsia="en-US"/>
              </w:rPr>
              <w:lastRenderedPageBreak/>
              <w:t>fonction de la valeur courante sur le marché</w:t>
            </w:r>
            <w:r w:rsidRPr="001C0132">
              <w:rPr>
                <w:color w:val="000000"/>
                <w:lang w:eastAsia="en-US"/>
              </w:rPr>
              <w:t>).</w:t>
            </w:r>
            <w:bookmarkEnd w:id="39"/>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0"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0"/>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1" w:name="lt_pId070"/>
            <w:r>
              <w:rPr>
                <w:rFonts w:ascii="Calibri" w:eastAsia="Times New Roman" w:hAnsi="Calibri" w:cs="Times New Roman"/>
                <w:color w:val="000000"/>
                <w:lang w:val="fr-CA"/>
              </w:rPr>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1"/>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B15041"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146312AD" w:rsidR="001B0831" w:rsidRPr="001B0831" w:rsidRDefault="001B0831" w:rsidP="00860C13">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 xml:space="preserve">le </w:t>
            </w:r>
            <w:r w:rsidR="00860C13">
              <w:rPr>
                <w:rFonts w:ascii="Calibri" w:eastAsia="Times New Roman" w:hAnsi="Calibri" w:cs="Times New Roman"/>
                <w:color w:val="000000"/>
                <w:lang w:val="fr-CA"/>
              </w:rPr>
              <w:t>29</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860C13">
              <w:rPr>
                <w:rFonts w:ascii="Calibri" w:eastAsia="Times New Roman" w:hAnsi="Calibri" w:cs="Times New Roman"/>
                <w:color w:val="000000"/>
                <w:lang w:val="fr-CA"/>
              </w:rPr>
              <w:t>3</w:t>
            </w:r>
            <w:r w:rsidRPr="001B0831">
              <w:rPr>
                <w:rFonts w:ascii="Calibri" w:eastAsia="Times New Roman" w:hAnsi="Calibri" w:cs="Times New Roman"/>
                <w:color w:val="000000"/>
                <w:lang w:val="fr-CA"/>
              </w:rPr>
              <w:t>.</w:t>
            </w:r>
          </w:p>
        </w:tc>
      </w:tr>
      <w:tr w:rsidR="00F91608" w:rsidRPr="00B15041"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2"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2"/>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3"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3"/>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B15041"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2072E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ListParagraph"/>
              <w:spacing w:line="276" w:lineRule="auto"/>
              <w:ind w:left="0"/>
              <w:rPr>
                <w:b/>
                <w:i/>
                <w:color w:val="000000"/>
                <w:lang w:eastAsia="en-US"/>
              </w:rPr>
            </w:pPr>
          </w:p>
          <w:p w14:paraId="30ADA3C0"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ListParagraph"/>
              <w:spacing w:line="276" w:lineRule="auto"/>
              <w:ind w:left="0"/>
              <w:rPr>
                <w:lang w:eastAsia="en-US"/>
              </w:rPr>
            </w:pPr>
          </w:p>
          <w:p w14:paraId="2CF2B741" w14:textId="77777777" w:rsidR="00F91608" w:rsidRPr="001C0132" w:rsidRDefault="00F91608" w:rsidP="00F91608">
            <w:pPr>
              <w:pStyle w:val="ListParagraph"/>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ListParagraph"/>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ListParagraph"/>
              <w:spacing w:line="276" w:lineRule="auto"/>
              <w:ind w:left="0"/>
              <w:rPr>
                <w:b/>
                <w:i/>
                <w:color w:val="000000"/>
                <w:lang w:eastAsia="en-US"/>
              </w:rPr>
            </w:pPr>
          </w:p>
          <w:p w14:paraId="7555A51B" w14:textId="77777777" w:rsidR="00F91608" w:rsidRPr="001C0132" w:rsidRDefault="00F91608" w:rsidP="00F91608">
            <w:pPr>
              <w:rPr>
                <w:lang w:val="fr-CA"/>
              </w:rPr>
            </w:pPr>
            <w:r>
              <w:rPr>
                <w:lang w:val="fr-CA"/>
              </w:rPr>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 xml:space="preserve">heures touchant les processus d’affaires clés pendant une </w:t>
            </w:r>
            <w:r>
              <w:rPr>
                <w:bCs/>
                <w:lang w:val="fr-CA"/>
              </w:rPr>
              <w:lastRenderedPageBreak/>
              <w:t>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20321" w:rsidRPr="00B15041" w14:paraId="29E90D26"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337EF33D" w14:textId="52CA0B1A" w:rsidR="00F20321" w:rsidRPr="001C0132" w:rsidRDefault="00F20321" w:rsidP="00F20321">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18</w:t>
            </w:r>
          </w:p>
        </w:tc>
        <w:tc>
          <w:tcPr>
            <w:tcW w:w="7767" w:type="dxa"/>
            <w:tcBorders>
              <w:top w:val="single" w:sz="4" w:space="0" w:color="auto"/>
              <w:left w:val="single" w:sz="4" w:space="0" w:color="auto"/>
              <w:bottom w:val="single" w:sz="4" w:space="0" w:color="auto"/>
              <w:right w:val="single" w:sz="4" w:space="0" w:color="auto"/>
            </w:tcBorders>
            <w:vAlign w:val="center"/>
          </w:tcPr>
          <w:p w14:paraId="2A0BA272" w14:textId="77777777" w:rsidR="00083C22" w:rsidRPr="00636A2D" w:rsidRDefault="00083C22" w:rsidP="00F20321">
            <w:pPr>
              <w:pStyle w:val="ListParagraph"/>
              <w:ind w:left="0"/>
              <w:rPr>
                <w:b/>
                <w:i/>
                <w:color w:val="000000"/>
              </w:rPr>
            </w:pPr>
          </w:p>
          <w:p w14:paraId="230389F5" w14:textId="627E8044" w:rsidR="00F20321" w:rsidRPr="00083C22" w:rsidRDefault="00F20321" w:rsidP="00F20321">
            <w:pPr>
              <w:pStyle w:val="ListParagraph"/>
              <w:ind w:left="0"/>
              <w:rPr>
                <w:b/>
                <w:i/>
                <w:color w:val="000000"/>
                <w:lang w:val="fr-FR"/>
              </w:rPr>
            </w:pPr>
            <w:r w:rsidRPr="00083C22">
              <w:rPr>
                <w:b/>
                <w:i/>
                <w:color w:val="000000"/>
                <w:lang w:val="fr-FR"/>
              </w:rPr>
              <w:t>18.1 : Nombre de membres compensateurs, par service de compensation et par catégorie de membres</w:t>
            </w:r>
          </w:p>
          <w:p w14:paraId="59D03F71" w14:textId="77777777" w:rsidR="00F20321" w:rsidRPr="00083C22" w:rsidRDefault="00F20321" w:rsidP="00F20321">
            <w:pPr>
              <w:pStyle w:val="ListParagraph"/>
              <w:ind w:left="0"/>
              <w:rPr>
                <w:b/>
                <w:i/>
                <w:color w:val="000000"/>
                <w:lang w:val="fr-FR"/>
              </w:rPr>
            </w:pPr>
          </w:p>
          <w:p w14:paraId="251EA632" w14:textId="77777777" w:rsidR="00F20321" w:rsidRPr="00636A2D" w:rsidRDefault="00F20321" w:rsidP="00083C22">
            <w:pPr>
              <w:pStyle w:val="ListParagraph"/>
              <w:ind w:left="720" w:hanging="360"/>
              <w:rPr>
                <w:rFonts w:cstheme="minorHAnsi"/>
              </w:rPr>
            </w:pPr>
            <w:r w:rsidRPr="00636A2D">
              <w:rPr>
                <w:b/>
                <w:i/>
                <w:color w:val="000000"/>
              </w:rPr>
              <w:t>•</w:t>
            </w:r>
            <w:r w:rsidRPr="00636A2D">
              <w:rPr>
                <w:b/>
                <w:i/>
                <w:color w:val="000000"/>
              </w:rPr>
              <w:tab/>
            </w:r>
            <w:r w:rsidRPr="00636A2D">
              <w:rPr>
                <w:rFonts w:cstheme="minorHAnsi"/>
              </w:rPr>
              <w:t>18.1.1.1 : Nombre de membres compensateurs, définis comme étant des candidats admis à titre de membres compensateurs de la Société selon les modalités prévues aux Règles de la CDCC</w:t>
            </w:r>
          </w:p>
          <w:p w14:paraId="23DAA555" w14:textId="77777777" w:rsidR="00F20321" w:rsidRPr="00636A2D" w:rsidRDefault="00F20321" w:rsidP="00083C22">
            <w:pPr>
              <w:pStyle w:val="ListParagraph"/>
              <w:ind w:left="720" w:hanging="360"/>
              <w:rPr>
                <w:rFonts w:cstheme="minorHAnsi"/>
              </w:rPr>
            </w:pPr>
          </w:p>
          <w:p w14:paraId="1D442687" w14:textId="77777777" w:rsidR="00F20321" w:rsidRDefault="00F20321" w:rsidP="00083C22">
            <w:pPr>
              <w:pStyle w:val="ListParagraph"/>
              <w:ind w:left="720" w:hanging="360"/>
              <w:rPr>
                <w:rFonts w:cstheme="minorHAnsi"/>
              </w:rPr>
            </w:pPr>
            <w:r w:rsidRPr="00636A2D">
              <w:rPr>
                <w:rFonts w:cstheme="minorHAnsi"/>
              </w:rPr>
              <w:t>•</w:t>
            </w:r>
            <w:r w:rsidRPr="00636A2D">
              <w:rPr>
                <w:rFonts w:cstheme="minorHAnsi"/>
              </w:rPr>
              <w:tab/>
              <w:t>18.1.1.2 : Nombre de membres compensateurs à responsabilité limitée, définis comme étant des candidats admis par la Société à titre de membres compensateurs à responsabilité limitée selon les modalités prévues aux Règles de la CDCC</w:t>
            </w:r>
          </w:p>
          <w:p w14:paraId="3D9EB81C" w14:textId="77777777" w:rsidR="00B15041" w:rsidRDefault="00B15041" w:rsidP="00083C22">
            <w:pPr>
              <w:pStyle w:val="ListParagraph"/>
              <w:ind w:left="720" w:hanging="360"/>
              <w:rPr>
                <w:rFonts w:cstheme="minorHAnsi"/>
              </w:rPr>
            </w:pPr>
          </w:p>
          <w:p w14:paraId="28463EEF" w14:textId="1FD43540" w:rsidR="00B15041" w:rsidRPr="00B15041" w:rsidRDefault="00B15041" w:rsidP="00B15041">
            <w:pPr>
              <w:rPr>
                <w:b/>
                <w:i/>
                <w:color w:val="000000"/>
                <w:lang w:val="fr-CA"/>
              </w:rPr>
            </w:pPr>
            <w:bookmarkStart w:id="44" w:name="_GoBack"/>
            <w:bookmarkEnd w:id="44"/>
            <w:r w:rsidRPr="00B15041">
              <w:rPr>
                <w:b/>
                <w:i/>
                <w:color w:val="000000"/>
                <w:lang w:val="fr-CA"/>
              </w:rPr>
              <w:t>Veuillez noter que la baisse du nombre de membres compensateurs domestique n’est pas due au retrait d’un membre mais à une précision accrue dans le comptage du nombre de membres compensateurs domestique .</w:t>
            </w:r>
          </w:p>
        </w:tc>
      </w:tr>
      <w:tr w:rsidR="00F91608" w:rsidRPr="00B15041"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5"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5"/>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1D0183D1" w14:textId="77777777" w:rsidR="007055E7" w:rsidRDefault="00F91608" w:rsidP="00B26556">
            <w:pPr>
              <w:spacing w:line="240" w:lineRule="auto"/>
              <w:jc w:val="both"/>
              <w:rPr>
                <w:rFonts w:ascii="Calibri" w:eastAsia="Times New Roman" w:hAnsi="Calibri" w:cs="Times New Roman"/>
                <w:color w:val="000000"/>
                <w:lang w:val="fr-CA"/>
              </w:rPr>
            </w:pPr>
            <w:bookmarkStart w:id="46"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seul un côté de l’opération est déclaré</w:t>
            </w:r>
            <w:r w:rsidRPr="001C0132">
              <w:rPr>
                <w:rFonts w:ascii="Calibri" w:eastAsia="Times New Roman" w:hAnsi="Calibri" w:cs="Times New Roman"/>
                <w:color w:val="000000"/>
                <w:lang w:val="fr-CA"/>
              </w:rPr>
              <w:t>).</w:t>
            </w:r>
            <w:bookmarkEnd w:id="46"/>
          </w:p>
          <w:p w14:paraId="38A79804" w14:textId="626991AA" w:rsidR="007A2985" w:rsidRPr="001C0132" w:rsidRDefault="007A2985" w:rsidP="007A2985">
            <w:pPr>
              <w:spacing w:line="240" w:lineRule="auto"/>
              <w:jc w:val="both"/>
              <w:rPr>
                <w:rFonts w:ascii="Calibri" w:eastAsia="Times New Roman" w:hAnsi="Calibri" w:cs="Times New Roman"/>
                <w:color w:val="000000"/>
                <w:lang w:val="fr-CA"/>
              </w:rPr>
            </w:pPr>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1F75FE76" w:rsidR="00496A3D" w:rsidRDefault="00781B4B" w:rsidP="002E70BE">
    <w:pPr>
      <w:pStyle w:val="Footer"/>
      <w:tabs>
        <w:tab w:val="clear" w:pos="4320"/>
        <w:tab w:val="clear" w:pos="8640"/>
        <w:tab w:val="left" w:pos="90"/>
        <w:tab w:val="right" w:pos="9630"/>
      </w:tabs>
      <w:jc w:val="right"/>
    </w:pPr>
    <w:r>
      <w:t>T</w:t>
    </w:r>
    <w:r w:rsidR="001C3DFE">
      <w:t>4</w:t>
    </w:r>
    <w:r w:rsidR="00431621">
      <w:t>-</w:t>
    </w:r>
    <w:r w:rsidR="006178B3">
      <w:t>202</w:t>
    </w:r>
    <w:r w:rsidR="00F23369">
      <w:t>4</w:t>
    </w:r>
    <w:r w:rsidR="00496A3D">
      <w:tab/>
      <w:t xml:space="preserve">Page </w:t>
    </w:r>
    <w:r w:rsidR="00496A3D">
      <w:fldChar w:fldCharType="begin"/>
    </w:r>
    <w:r w:rsidR="00496A3D">
      <w:instrText xml:space="preserve"> PAGE   \* MERGEFORMAT </w:instrText>
    </w:r>
    <w:r w:rsidR="00496A3D">
      <w:fldChar w:fldCharType="separate"/>
    </w:r>
    <w:r w:rsidR="00B15041">
      <w:rPr>
        <w:noProof/>
      </w:rPr>
      <w:t>6</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B15041">
      <w:rPr>
        <w:noProof/>
      </w:rPr>
      <w:t>7</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Header"/>
      <w:tabs>
        <w:tab w:val="clear" w:pos="8640"/>
        <w:tab w:val="left" w:pos="3193"/>
        <w:tab w:val="left" w:pos="6735"/>
        <w:tab w:val="right" w:pos="9526"/>
      </w:tabs>
    </w:pPr>
    <w:r>
      <w:tab/>
    </w:r>
    <w:r>
      <w:tab/>
    </w:r>
    <w:r>
      <w:tab/>
    </w:r>
    <w:r>
      <w:tab/>
    </w:r>
    <w:r w:rsidR="00781B4B">
      <w:rPr>
        <w:noProof/>
        <w:lang w:val="en-US"/>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0"/>
  <w:activeWritingStyle w:appName="MSWord" w:lang="fr-FR" w:vendorID="64" w:dllVersion="131078" w:nlCheck="1" w:checkStyle="0"/>
  <w:defaultTabStop w:val="720"/>
  <w:hyphenationZone w:val="425"/>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3C22"/>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3E63"/>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3DFE"/>
    <w:rsid w:val="001C4DB2"/>
    <w:rsid w:val="001C5FE5"/>
    <w:rsid w:val="001D04D8"/>
    <w:rsid w:val="001D1C06"/>
    <w:rsid w:val="001D2129"/>
    <w:rsid w:val="001D5D9C"/>
    <w:rsid w:val="001E154C"/>
    <w:rsid w:val="001E1D3B"/>
    <w:rsid w:val="001E3EC6"/>
    <w:rsid w:val="001E59BE"/>
    <w:rsid w:val="001E5FE7"/>
    <w:rsid w:val="001E7014"/>
    <w:rsid w:val="00206511"/>
    <w:rsid w:val="002072E2"/>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76B08"/>
    <w:rsid w:val="004818CA"/>
    <w:rsid w:val="00481960"/>
    <w:rsid w:val="00484643"/>
    <w:rsid w:val="00484C61"/>
    <w:rsid w:val="00494FD1"/>
    <w:rsid w:val="00495933"/>
    <w:rsid w:val="00496A3D"/>
    <w:rsid w:val="004A3596"/>
    <w:rsid w:val="004A36DC"/>
    <w:rsid w:val="004A3CAC"/>
    <w:rsid w:val="004A6C4F"/>
    <w:rsid w:val="004A778F"/>
    <w:rsid w:val="004B020F"/>
    <w:rsid w:val="004B262B"/>
    <w:rsid w:val="004B67D8"/>
    <w:rsid w:val="004C0002"/>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4F5E84"/>
    <w:rsid w:val="00500CFC"/>
    <w:rsid w:val="00501384"/>
    <w:rsid w:val="00502930"/>
    <w:rsid w:val="005029D8"/>
    <w:rsid w:val="00502F82"/>
    <w:rsid w:val="005038AA"/>
    <w:rsid w:val="00505800"/>
    <w:rsid w:val="0050661D"/>
    <w:rsid w:val="00514243"/>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5F5325"/>
    <w:rsid w:val="00605519"/>
    <w:rsid w:val="0061309E"/>
    <w:rsid w:val="00614C1B"/>
    <w:rsid w:val="00614EAD"/>
    <w:rsid w:val="00617727"/>
    <w:rsid w:val="006178B3"/>
    <w:rsid w:val="00624D18"/>
    <w:rsid w:val="00631704"/>
    <w:rsid w:val="00633D2D"/>
    <w:rsid w:val="00634B40"/>
    <w:rsid w:val="006353B7"/>
    <w:rsid w:val="006361EB"/>
    <w:rsid w:val="00636A2D"/>
    <w:rsid w:val="00642CF7"/>
    <w:rsid w:val="00645F51"/>
    <w:rsid w:val="00651EAA"/>
    <w:rsid w:val="006551DC"/>
    <w:rsid w:val="00657D97"/>
    <w:rsid w:val="006605F4"/>
    <w:rsid w:val="00663FB4"/>
    <w:rsid w:val="0066641A"/>
    <w:rsid w:val="006725FB"/>
    <w:rsid w:val="00673AE3"/>
    <w:rsid w:val="006741D2"/>
    <w:rsid w:val="00675EF3"/>
    <w:rsid w:val="00681602"/>
    <w:rsid w:val="00684D22"/>
    <w:rsid w:val="006857DC"/>
    <w:rsid w:val="00691654"/>
    <w:rsid w:val="00692A97"/>
    <w:rsid w:val="00693481"/>
    <w:rsid w:val="00697D23"/>
    <w:rsid w:val="006B50DB"/>
    <w:rsid w:val="006B7537"/>
    <w:rsid w:val="006C3A59"/>
    <w:rsid w:val="006C4435"/>
    <w:rsid w:val="006C71E6"/>
    <w:rsid w:val="006D3024"/>
    <w:rsid w:val="006D31C9"/>
    <w:rsid w:val="006D41B6"/>
    <w:rsid w:val="006D6075"/>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985"/>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05BCF"/>
    <w:rsid w:val="008257D0"/>
    <w:rsid w:val="0083292B"/>
    <w:rsid w:val="0084160C"/>
    <w:rsid w:val="00841C1C"/>
    <w:rsid w:val="00842C57"/>
    <w:rsid w:val="00850DC8"/>
    <w:rsid w:val="00854930"/>
    <w:rsid w:val="00854DB5"/>
    <w:rsid w:val="00860C13"/>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4DD1"/>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6A2"/>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041"/>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0B85"/>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1FDC"/>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16889"/>
    <w:rsid w:val="00E20665"/>
    <w:rsid w:val="00E24985"/>
    <w:rsid w:val="00E300C8"/>
    <w:rsid w:val="00E31F4F"/>
    <w:rsid w:val="00E330E8"/>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87701"/>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6881"/>
    <w:rsid w:val="00EF7F96"/>
    <w:rsid w:val="00F013DC"/>
    <w:rsid w:val="00F03027"/>
    <w:rsid w:val="00F0309B"/>
    <w:rsid w:val="00F0446E"/>
    <w:rsid w:val="00F06A77"/>
    <w:rsid w:val="00F13D33"/>
    <w:rsid w:val="00F1723E"/>
    <w:rsid w:val="00F20321"/>
    <w:rsid w:val="00F23369"/>
    <w:rsid w:val="00F2340C"/>
    <w:rsid w:val="00F26336"/>
    <w:rsid w:val="00F27098"/>
    <w:rsid w:val="00F271C2"/>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985"/>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BB5024"/>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B5024"/>
    <w:rPr>
      <w:rFonts w:ascii="Calibri" w:eastAsia="Times New Roman" w:hAnsi="Calibri" w:cs="Times New Roman"/>
      <w:b/>
      <w:bCs/>
      <w:sz w:val="20"/>
      <w:szCs w:val="20"/>
      <w:lang w:eastAsia="fr-FR"/>
    </w:rPr>
  </w:style>
  <w:style w:type="paragraph" w:styleId="Revision">
    <w:name w:val="Revision"/>
    <w:hidden/>
    <w:uiPriority w:val="99"/>
    <w:semiHidden/>
    <w:rsid w:val="00502930"/>
    <w:pPr>
      <w:spacing w:after="0" w:line="240" w:lineRule="auto"/>
    </w:pPr>
  </w:style>
  <w:style w:type="character" w:customStyle="1" w:styleId="y2iqfc">
    <w:name w:val="y2iqfc"/>
    <w:basedOn w:val="DefaultParagraphFont"/>
    <w:rsid w:val="0092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869">
      <w:bodyDiv w:val="1"/>
      <w:marLeft w:val="0"/>
      <w:marRight w:val="0"/>
      <w:marTop w:val="0"/>
      <w:marBottom w:val="0"/>
      <w:divBdr>
        <w:top w:val="none" w:sz="0" w:space="0" w:color="auto"/>
        <w:left w:val="none" w:sz="0" w:space="0" w:color="auto"/>
        <w:bottom w:val="none" w:sz="0" w:space="0" w:color="auto"/>
        <w:right w:val="none" w:sz="0" w:space="0" w:color="auto"/>
      </w:divBdr>
    </w:div>
    <w:div w:id="77556780">
      <w:bodyDiv w:val="1"/>
      <w:marLeft w:val="0"/>
      <w:marRight w:val="0"/>
      <w:marTop w:val="0"/>
      <w:marBottom w:val="0"/>
      <w:divBdr>
        <w:top w:val="none" w:sz="0" w:space="0" w:color="auto"/>
        <w:left w:val="none" w:sz="0" w:space="0" w:color="auto"/>
        <w:bottom w:val="none" w:sz="0" w:space="0" w:color="auto"/>
        <w:right w:val="none" w:sz="0" w:space="0" w:color="auto"/>
      </w:divBdr>
    </w:div>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291130931">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62C7E-069F-46FF-AA2F-127C447C3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7</Pages>
  <Words>1749</Words>
  <Characters>9975</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11701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TMX Group Limited</cp:lastModifiedBy>
  <cp:revision>94</cp:revision>
  <cp:lastPrinted>2021-06-30T14:43:00Z</cp:lastPrinted>
  <dcterms:created xsi:type="dcterms:W3CDTF">2016-02-12T14:00:00Z</dcterms:created>
  <dcterms:modified xsi:type="dcterms:W3CDTF">2025-03-05T22:25:00Z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