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en-US"/>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 xml:space="preserve">CDCC Quantitative </w:t>
      </w:r>
      <w:proofErr w:type="spellStart"/>
      <w:r w:rsidRPr="008C6305">
        <w:rPr>
          <w:b/>
          <w:color w:val="365F91" w:themeColor="accent1" w:themeShade="BF"/>
          <w:sz w:val="32"/>
          <w:szCs w:val="32"/>
          <w:lang w:val="fr-FR"/>
        </w:rPr>
        <w:t>Disclosure</w:t>
      </w:r>
      <w:proofErr w:type="spellEnd"/>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7CAD9ACB" w:rsidR="003B4E3E" w:rsidRPr="008C6305" w:rsidRDefault="001920C5" w:rsidP="009C5A2D">
      <w:pPr>
        <w:jc w:val="center"/>
        <w:rPr>
          <w:b/>
          <w:color w:val="365F91" w:themeColor="accent1" w:themeShade="BF"/>
          <w:sz w:val="28"/>
          <w:lang w:val="fr-FR"/>
        </w:rPr>
      </w:pPr>
      <w:r w:rsidRPr="008C6305">
        <w:rPr>
          <w:b/>
          <w:color w:val="365F91" w:themeColor="accent1" w:themeShade="BF"/>
          <w:sz w:val="28"/>
          <w:lang w:val="fr-FR"/>
        </w:rPr>
        <w:t>Q</w:t>
      </w:r>
      <w:r w:rsidR="00F13A95" w:rsidRPr="008C6305">
        <w:rPr>
          <w:b/>
          <w:color w:val="365F91" w:themeColor="accent1" w:themeShade="BF"/>
          <w:sz w:val="28"/>
          <w:lang w:val="fr-FR"/>
        </w:rPr>
        <w:t>1</w:t>
      </w:r>
      <w:r w:rsidR="00431621" w:rsidRPr="008C6305">
        <w:rPr>
          <w:b/>
          <w:color w:val="365F91" w:themeColor="accent1" w:themeShade="BF"/>
          <w:sz w:val="28"/>
          <w:lang w:val="fr-FR"/>
        </w:rPr>
        <w:t>-</w:t>
      </w:r>
      <w:r w:rsidR="007D28CB" w:rsidRPr="008C6305">
        <w:rPr>
          <w:b/>
          <w:color w:val="365F91" w:themeColor="accent1" w:themeShade="BF"/>
          <w:sz w:val="28"/>
          <w:lang w:val="fr-FR"/>
        </w:rPr>
        <w:t>202</w:t>
      </w:r>
      <w:r w:rsidR="00F13A95" w:rsidRPr="008C6305">
        <w:rPr>
          <w:b/>
          <w:color w:val="365F91" w:themeColor="accent1" w:themeShade="BF"/>
          <w:sz w:val="28"/>
          <w:lang w:val="fr-FR"/>
        </w:rPr>
        <w:t>4</w:t>
      </w:r>
    </w:p>
    <w:p w14:paraId="2B18612C" w14:textId="77777777" w:rsidR="003B4E3E" w:rsidRPr="008C6305" w:rsidRDefault="003B4E3E">
      <w:pPr>
        <w:spacing w:after="200"/>
        <w:rPr>
          <w:b/>
          <w:color w:val="365F91" w:themeColor="accent1" w:themeShade="BF"/>
          <w:sz w:val="28"/>
          <w:lang w:val="fr-FR"/>
        </w:rPr>
      </w:pPr>
      <w:r w:rsidRPr="008C6305">
        <w:rPr>
          <w:b/>
          <w:color w:val="365F91" w:themeColor="accent1" w:themeShade="BF"/>
          <w:sz w:val="28"/>
          <w:lang w:val="fr-FR"/>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9B60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E5A40"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at </w:t>
            </w:r>
            <w:r w:rsidR="00617727" w:rsidRPr="002E5A40">
              <w:rPr>
                <w:color w:val="000000"/>
                <w:lang w:val="en-US"/>
              </w:rPr>
              <w:t xml:space="preserve">the </w:t>
            </w:r>
            <w:r w:rsidR="00431621" w:rsidRPr="002E5A40">
              <w:rPr>
                <w:color w:val="000000"/>
                <w:lang w:val="en-US"/>
              </w:rPr>
              <w:t>asset level:</w:t>
            </w:r>
          </w:p>
          <w:p w14:paraId="443F13BB" w14:textId="490078B8" w:rsidR="00782818" w:rsidRPr="002E5A40" w:rsidRDefault="002050B4" w:rsidP="001920C5">
            <w:pPr>
              <w:pStyle w:val="ListParagraph"/>
              <w:numPr>
                <w:ilvl w:val="0"/>
                <w:numId w:val="29"/>
              </w:numPr>
              <w:contextualSpacing/>
              <w:jc w:val="both"/>
              <w:rPr>
                <w:color w:val="000000"/>
                <w:lang w:val="en-US"/>
              </w:rPr>
            </w:pPr>
            <w:r>
              <w:rPr>
                <w:color w:val="000000"/>
                <w:lang w:val="en-US"/>
              </w:rPr>
              <w:t>282</w:t>
            </w:r>
            <w:r w:rsidR="00431621" w:rsidRPr="002E5A40">
              <w:rPr>
                <w:color w:val="000000"/>
                <w:lang w:val="en-US"/>
              </w:rPr>
              <w:t xml:space="preserve"> breaches out of </w:t>
            </w:r>
            <w:r>
              <w:rPr>
                <w:color w:val="000000"/>
                <w:lang w:val="en-CA"/>
              </w:rPr>
              <w:t>226</w:t>
            </w:r>
            <w:r w:rsidR="00C16A51">
              <w:rPr>
                <w:color w:val="000000"/>
                <w:lang w:val="en-CA"/>
              </w:rPr>
              <w:t>,</w:t>
            </w:r>
            <w:r>
              <w:rPr>
                <w:color w:val="000000"/>
                <w:lang w:val="en-CA"/>
              </w:rPr>
              <w:t>947</w:t>
            </w:r>
            <w:r w:rsidR="001920C5" w:rsidRPr="002E5A40">
              <w:rPr>
                <w:color w:val="000000"/>
                <w:lang w:val="en-CA"/>
              </w:rPr>
              <w:t xml:space="preserve"> </w:t>
            </w:r>
            <w:r w:rsidR="00431621" w:rsidRPr="002E5A40">
              <w:rPr>
                <w:color w:val="000000"/>
                <w:lang w:val="en-US"/>
              </w:rPr>
              <w:t>for bonds which correspond to</w:t>
            </w:r>
            <w:r w:rsidR="00B60F5D" w:rsidRPr="002E5A40">
              <w:rPr>
                <w:color w:val="000000"/>
                <w:lang w:val="en-US"/>
              </w:rPr>
              <w:t xml:space="preserve"> </w:t>
            </w:r>
            <w:r w:rsidR="005B4A22" w:rsidRPr="002E5A40">
              <w:rPr>
                <w:color w:val="000000"/>
                <w:lang w:val="en-US"/>
              </w:rPr>
              <w:t>an achieved coverage level 99.</w:t>
            </w:r>
            <w:r w:rsidR="003B7EC3" w:rsidRPr="002E5A40">
              <w:rPr>
                <w:color w:val="000000"/>
                <w:lang w:val="en-US"/>
              </w:rPr>
              <w:t>8</w:t>
            </w:r>
            <w:r>
              <w:rPr>
                <w:color w:val="000000"/>
                <w:lang w:val="en-US"/>
              </w:rPr>
              <w:t>8</w:t>
            </w:r>
            <w:r w:rsidR="00431621" w:rsidRPr="002E5A40">
              <w:rPr>
                <w:color w:val="000000"/>
                <w:lang w:val="en-US"/>
              </w:rPr>
              <w:t>%</w:t>
            </w:r>
            <w:r w:rsidR="00C44BD1" w:rsidRPr="002E5A40">
              <w:rPr>
                <w:color w:val="000000"/>
                <w:lang w:val="en-US"/>
              </w:rPr>
              <w:t>.</w:t>
            </w:r>
            <w:r w:rsidR="00431621" w:rsidRPr="002E5A40">
              <w:rPr>
                <w:color w:val="000000"/>
                <w:lang w:val="en-US"/>
              </w:rPr>
              <w:t xml:space="preserve">  </w:t>
            </w:r>
          </w:p>
          <w:p w14:paraId="01A1CBA1" w14:textId="2CB405AD" w:rsidR="00431621" w:rsidRPr="002E5A40" w:rsidRDefault="002050B4" w:rsidP="008B14AD">
            <w:pPr>
              <w:pStyle w:val="ListParagraph"/>
              <w:numPr>
                <w:ilvl w:val="0"/>
                <w:numId w:val="29"/>
              </w:numPr>
              <w:contextualSpacing/>
              <w:jc w:val="both"/>
              <w:rPr>
                <w:color w:val="000000"/>
                <w:lang w:val="en-US"/>
              </w:rPr>
            </w:pPr>
            <w:r>
              <w:rPr>
                <w:color w:val="000000"/>
                <w:lang w:val="en-US"/>
              </w:rPr>
              <w:t>2</w:t>
            </w:r>
            <w:r w:rsidR="00C44BD1" w:rsidRPr="002E5A40">
              <w:rPr>
                <w:color w:val="000000"/>
                <w:lang w:val="en-US"/>
              </w:rPr>
              <w:t xml:space="preserve"> breach</w:t>
            </w:r>
            <w:r w:rsidR="002964E2" w:rsidRPr="002E5A40">
              <w:rPr>
                <w:color w:val="000000"/>
                <w:lang w:val="en-US"/>
              </w:rPr>
              <w:t>es</w:t>
            </w:r>
            <w:r w:rsidR="00431621" w:rsidRPr="002E5A40">
              <w:rPr>
                <w:color w:val="000000"/>
                <w:lang w:val="en-US"/>
              </w:rPr>
              <w:t xml:space="preserve"> out of </w:t>
            </w:r>
            <w:r w:rsidR="009B60B7">
              <w:rPr>
                <w:color w:val="000000"/>
                <w:lang w:val="en-US"/>
              </w:rPr>
              <w:t>7</w:t>
            </w:r>
            <w:r>
              <w:rPr>
                <w:color w:val="000000"/>
                <w:lang w:val="en-US"/>
              </w:rPr>
              <w:t>2</w:t>
            </w:r>
            <w:r w:rsidR="003B7EC3" w:rsidRPr="002E5A40">
              <w:rPr>
                <w:color w:val="000000"/>
                <w:lang w:val="en-US"/>
              </w:rPr>
              <w:t>,</w:t>
            </w:r>
            <w:r>
              <w:rPr>
                <w:color w:val="000000"/>
                <w:lang w:val="en-US"/>
              </w:rPr>
              <w:t>228</w:t>
            </w:r>
            <w:r w:rsidR="00431621" w:rsidRPr="002E5A40">
              <w:rPr>
                <w:color w:val="000000"/>
                <w:lang w:val="en-US"/>
              </w:rPr>
              <w:t xml:space="preserve"> for equities which correspond to </w:t>
            </w:r>
            <w:r w:rsidR="005B4A22" w:rsidRPr="002E5A40">
              <w:rPr>
                <w:color w:val="000000"/>
                <w:lang w:val="en-US"/>
              </w:rPr>
              <w:t>an achieved coverage level 100.00</w:t>
            </w:r>
            <w:r w:rsidR="00B20938" w:rsidRPr="002E5A40">
              <w:rPr>
                <w:color w:val="000000"/>
                <w:lang w:val="en-US"/>
              </w:rPr>
              <w:t>%</w:t>
            </w:r>
            <w:r w:rsidR="00C44BD1" w:rsidRPr="002E5A40">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1A2D5F16"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3CCF0EB8" w:rsidR="00A30546" w:rsidRDefault="00A30546" w:rsidP="00085C20">
            <w:pPr>
              <w:spacing w:line="240" w:lineRule="auto"/>
              <w:rPr>
                <w:rFonts w:ascii="Calibri" w:eastAsia="Times New Roman" w:hAnsi="Calibri" w:cs="Times New Roman"/>
                <w:color w:val="000000"/>
                <w:lang w:val="en-US"/>
              </w:rPr>
            </w:pPr>
            <w:r>
              <w:t>The Client Gross is Client GCM and Client Net is Client Non-GCM.</w:t>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29422FC8" w:rsidR="00431621" w:rsidRDefault="00B11B9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7ED3990"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F13A95">
              <w:rPr>
                <w:rFonts w:ascii="Calibri" w:eastAsia="Times New Roman" w:hAnsi="Calibri" w:cs="Times New Roman"/>
                <w:color w:val="000000"/>
                <w:lang w:val="en-US"/>
              </w:rPr>
              <w:t>2</w:t>
            </w:r>
            <w:r w:rsidR="0075083A">
              <w:rPr>
                <w:rFonts w:ascii="Calibri" w:eastAsia="Times New Roman" w:hAnsi="Calibri" w:cs="Times New Roman"/>
                <w:color w:val="000000"/>
                <w:lang w:val="en-US"/>
              </w:rPr>
              <w:t>9</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75083A">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676CDB" w:rsidRPr="004319BE" w14:paraId="79ED2B99" w14:textId="77777777" w:rsidTr="003B4E3E">
        <w:trPr>
          <w:trHeight w:val="290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ListParagraph"/>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ListParagraph"/>
              <w:ind w:left="0"/>
              <w:rPr>
                <w:b/>
                <w:i/>
                <w:color w:val="000000"/>
                <w:lang w:val="en-US"/>
              </w:rPr>
            </w:pPr>
          </w:p>
          <w:p w14:paraId="122E1278" w14:textId="7F0CE2E1" w:rsidR="003B4E3E" w:rsidRDefault="003B4E3E" w:rsidP="003B4E3E">
            <w:pPr>
              <w:pStyle w:val="ListParagraph"/>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bookmarkStart w:id="0" w:name="_GoBack"/>
            <w:bookmarkEnd w:id="0"/>
          </w:p>
          <w:p w14:paraId="75A86708" w14:textId="77777777" w:rsidR="00063CEF" w:rsidRDefault="00063CEF" w:rsidP="00063CEF">
            <w:pPr>
              <w:pStyle w:val="ListParagraph"/>
              <w:ind w:left="720"/>
              <w:rPr>
                <w:rFonts w:cstheme="minorHAnsi"/>
                <w:lang w:val="en-US"/>
              </w:rPr>
            </w:pPr>
          </w:p>
          <w:p w14:paraId="088F3B93" w14:textId="17A205A6" w:rsidR="003B4E3E" w:rsidRPr="003B4E3E" w:rsidRDefault="003B4E3E" w:rsidP="00063CEF">
            <w:pPr>
              <w:pStyle w:val="ListParagraph"/>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497FA5BD" w:rsidR="008C1C84" w:rsidRPr="00E267B3" w:rsidRDefault="000D1488" w:rsidP="00952AFD">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p>
        </w:tc>
      </w:tr>
    </w:tbl>
    <w:p w14:paraId="136BEDE7" w14:textId="77777777" w:rsidR="00C51AEB" w:rsidRDefault="00C51AEB" w:rsidP="00676CDB">
      <w:pPr>
        <w:rPr>
          <w:rStyle w:val="Strong"/>
          <w:rFonts w:asciiTheme="majorHAnsi" w:eastAsiaTheme="majorEastAsia" w:hAnsiTheme="majorHAnsi" w:cstheme="majorBidi"/>
          <w:color w:val="365F91" w:themeColor="accent1" w:themeShade="BF"/>
          <w:sz w:val="32"/>
          <w:szCs w:val="32"/>
        </w:rPr>
      </w:pPr>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06DA1F0A" w:rsidR="00496A3D" w:rsidRDefault="001920C5" w:rsidP="002E70BE">
    <w:pPr>
      <w:pStyle w:val="Footer"/>
      <w:tabs>
        <w:tab w:val="clear" w:pos="4320"/>
        <w:tab w:val="clear" w:pos="8640"/>
        <w:tab w:val="left" w:pos="90"/>
        <w:tab w:val="right" w:pos="9630"/>
      </w:tabs>
      <w:jc w:val="right"/>
    </w:pPr>
    <w:r>
      <w:t>Q</w:t>
    </w:r>
    <w:r w:rsidR="00F13A95">
      <w:t>1</w:t>
    </w:r>
    <w:r w:rsidR="00431621">
      <w:t>-</w:t>
    </w:r>
    <w:r w:rsidR="007D28CB">
      <w:t>202</w:t>
    </w:r>
    <w:r w:rsidR="00F13A95">
      <w:t>4</w:t>
    </w:r>
    <w:r w:rsidR="00496A3D">
      <w:tab/>
      <w:t xml:space="preserve">Page </w:t>
    </w:r>
    <w:r w:rsidR="00496A3D">
      <w:fldChar w:fldCharType="begin"/>
    </w:r>
    <w:r w:rsidR="00496A3D">
      <w:instrText xml:space="preserve"> PAGE   \* MERGEFORMAT </w:instrText>
    </w:r>
    <w:r w:rsidR="00496A3D">
      <w:fldChar w:fldCharType="separate"/>
    </w:r>
    <w:r w:rsidR="00263A57">
      <w:rPr>
        <w:noProof/>
      </w:rPr>
      <w:t>7</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263A57">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en-US"/>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
  </w:num>
  <w:num w:numId="4">
    <w:abstractNumId w:val="12"/>
  </w:num>
  <w:num w:numId="5">
    <w:abstractNumId w:val="2"/>
  </w:num>
  <w:num w:numId="6">
    <w:abstractNumId w:val="5"/>
  </w:num>
  <w:num w:numId="7">
    <w:abstractNumId w:val="17"/>
  </w:num>
  <w:num w:numId="8">
    <w:abstractNumId w:val="9"/>
  </w:num>
  <w:num w:numId="9">
    <w:abstractNumId w:val="12"/>
  </w:num>
  <w:num w:numId="10">
    <w:abstractNumId w:val="12"/>
  </w:num>
  <w:num w:numId="11">
    <w:abstractNumId w:val="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6"/>
  </w:num>
  <w:num w:numId="22">
    <w:abstractNumId w:val="7"/>
  </w:num>
  <w:num w:numId="23">
    <w:abstractNumId w:val="7"/>
  </w:num>
  <w:num w:numId="24">
    <w:abstractNumId w:val="2"/>
  </w:num>
  <w:num w:numId="25">
    <w:abstractNumId w:val="2"/>
  </w:num>
  <w:num w:numId="26">
    <w:abstractNumId w:val="2"/>
  </w:num>
  <w:num w:numId="27">
    <w:abstractNumId w:val="8"/>
  </w:num>
  <w:num w:numId="28">
    <w:abstractNumId w:val="6"/>
  </w:num>
  <w:num w:numId="29">
    <w:abstractNumId w:val="15"/>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257D0"/>
    <w:rsid w:val="008321EE"/>
    <w:rsid w:val="0083292B"/>
    <w:rsid w:val="0084160C"/>
    <w:rsid w:val="00842C57"/>
    <w:rsid w:val="00850DC8"/>
    <w:rsid w:val="00854DB5"/>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AFFE4-4C37-45D0-AC2C-E2B744F9C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9532</TotalTime>
  <Pages>7</Pages>
  <Words>1421</Words>
  <Characters>8106</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319</cp:revision>
  <cp:lastPrinted>2022-05-25T20:49:00Z</cp:lastPrinted>
  <dcterms:created xsi:type="dcterms:W3CDTF">2015-08-10T20:42:00Z</dcterms:created>
  <dcterms:modified xsi:type="dcterms:W3CDTF">2024-05-28T14:57:00Z</dcterms:modified>
</cp:coreProperties>
</file>